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9391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88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4934F6" w:rsidP="00FF30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637F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4934F6" w:rsidP="004934F6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9A642B">
              <w:rPr>
                <w:color w:val="000000"/>
                <w:sz w:val="28"/>
                <w:szCs w:val="28"/>
                <w:lang w:val="uk-UA"/>
              </w:rPr>
              <w:t>Про перейменування Миколаївської спеціалізованої дитячо-юнацької школи параолімпійського резерву та внесення змін до її Статуту</w:t>
            </w: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4934F6" w:rsidRPr="00B154F1" w:rsidRDefault="004934F6" w:rsidP="004934F6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7637FF" w:rsidRDefault="007637FF" w:rsidP="007637FF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вісімнадцятої сесії обласної ради сьомого скликання за умови урахування зауважень юридичного відділу виконавчого апарату обласної ради та оформлення аркушу погодження до проекту рішення (візування усіма особами, зазначеними в ньому).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934F6" w:rsidRDefault="004934F6" w:rsidP="00493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4934F6" w:rsidRDefault="004934F6" w:rsidP="00493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4934F6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18" w:rsidRDefault="00B93918" w:rsidP="008174BA">
      <w:r>
        <w:separator/>
      </w:r>
    </w:p>
  </w:endnote>
  <w:endnote w:type="continuationSeparator" w:id="0">
    <w:p w:rsidR="00B93918" w:rsidRDefault="00B9391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18" w:rsidRDefault="00B93918" w:rsidP="008174BA">
      <w:r>
        <w:separator/>
      </w:r>
    </w:p>
  </w:footnote>
  <w:footnote w:type="continuationSeparator" w:id="0">
    <w:p w:rsidR="00B93918" w:rsidRDefault="00B9391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934F6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637FF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36E17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3918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80</cp:revision>
  <cp:lastPrinted>2015-12-23T09:32:00Z</cp:lastPrinted>
  <dcterms:created xsi:type="dcterms:W3CDTF">2012-05-17T11:18:00Z</dcterms:created>
  <dcterms:modified xsi:type="dcterms:W3CDTF">2017-12-18T14:10:00Z</dcterms:modified>
</cp:coreProperties>
</file>