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92E5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5592567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0637BB" w:rsidP="00305ED3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05ED3">
              <w:rPr>
                <w:sz w:val="28"/>
                <w:szCs w:val="28"/>
                <w:lang w:val="uk-UA"/>
              </w:rPr>
              <w:t>9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305ED3">
              <w:rPr>
                <w:sz w:val="28"/>
                <w:szCs w:val="28"/>
                <w:lang w:val="uk-UA"/>
              </w:rPr>
              <w:t>серпня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E17450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6F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D47FF8" w:rsidRDefault="00D47FF8" w:rsidP="00701DB1">
            <w:pPr>
              <w:jc w:val="both"/>
              <w:rPr>
                <w:sz w:val="28"/>
                <w:szCs w:val="28"/>
                <w:lang w:val="uk-UA"/>
              </w:rPr>
            </w:pPr>
            <w:r w:rsidRPr="00797860">
              <w:rPr>
                <w:sz w:val="28"/>
                <w:szCs w:val="28"/>
                <w:lang w:val="uk-UA"/>
              </w:rPr>
              <w:t>Про використання земель державної власності сільськогосподарського призначення у Врадіївському районі</w:t>
            </w:r>
            <w:r w:rsidRPr="0069524B">
              <w:rPr>
                <w:sz w:val="28"/>
                <w:szCs w:val="28"/>
                <w:lang w:val="uk-UA"/>
              </w:rPr>
              <w:t xml:space="preserve"> </w:t>
            </w:r>
          </w:p>
          <w:p w:rsidR="00251D0C" w:rsidRPr="00F24CB8" w:rsidRDefault="00251D0C" w:rsidP="00D47F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Pr="00AF5C1F">
        <w:rPr>
          <w:sz w:val="28"/>
          <w:szCs w:val="28"/>
          <w:lang w:val="uk-UA"/>
        </w:rPr>
        <w:t>головного</w:t>
      </w:r>
      <w:r>
        <w:rPr>
          <w:sz w:val="28"/>
          <w:szCs w:val="28"/>
          <w:lang w:val="uk-UA"/>
        </w:rPr>
        <w:t xml:space="preserve"> </w:t>
      </w:r>
      <w:r w:rsidRPr="00AF5C1F">
        <w:rPr>
          <w:sz w:val="28"/>
          <w:szCs w:val="28"/>
          <w:lang w:val="uk-UA"/>
        </w:rPr>
        <w:t xml:space="preserve">управління Держгеокадастру у Миколаївській області </w:t>
      </w:r>
      <w:r w:rsidR="00E32249">
        <w:rPr>
          <w:sz w:val="28"/>
          <w:szCs w:val="28"/>
          <w:lang w:val="uk-UA"/>
        </w:rPr>
        <w:t>(листи № 16-14-0.4-5193/2-17 від     10 липня 2017 року, № 16-14-0.4-6184/2-17 від 15 серпня 2017 року)</w:t>
      </w:r>
      <w:r>
        <w:rPr>
          <w:sz w:val="28"/>
          <w:szCs w:val="28"/>
          <w:lang w:val="uk-UA"/>
        </w:rPr>
        <w:t xml:space="preserve"> із зазначеного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Pr="00AF5C1F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F5C1F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AF5C1F">
        <w:rPr>
          <w:sz w:val="28"/>
          <w:szCs w:val="28"/>
          <w:lang w:val="uk-UA"/>
        </w:rPr>
        <w:t xml:space="preserve"> головного управління Держгеокадастру у Миколаївській області із зазначеного питання взяти до відома.</w:t>
      </w:r>
    </w:p>
    <w:p w:rsidR="00251F52" w:rsidRDefault="00605094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Відмітити</w:t>
      </w:r>
      <w:r w:rsidR="002F0EEC" w:rsidRPr="0095769B">
        <w:rPr>
          <w:sz w:val="28"/>
          <w:szCs w:val="28"/>
          <w:lang w:val="uk-UA"/>
        </w:rPr>
        <w:t xml:space="preserve">, що </w:t>
      </w:r>
      <w:r w:rsidR="00251F52">
        <w:rPr>
          <w:sz w:val="28"/>
          <w:szCs w:val="28"/>
          <w:lang w:val="uk-UA"/>
        </w:rPr>
        <w:t>в межах території Врадіївського району обліковується 3712,15 га земель сільськогосподарського призначення державної власності, з них передано в оренду 965,62 га або 26% земель цієї категорії, знаходяться у постійному користуванні 1036,40 га або 28% земель цієї категорії.</w:t>
      </w:r>
    </w:p>
    <w:p w:rsidR="002F0EEC" w:rsidRDefault="00251F52" w:rsidP="00251F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2F0EEC" w:rsidRPr="0095769B">
        <w:rPr>
          <w:sz w:val="28"/>
          <w:szCs w:val="28"/>
          <w:lang w:val="uk-UA"/>
        </w:rPr>
        <w:t>озпорядження</w:t>
      </w:r>
      <w:r w:rsidR="0095769B">
        <w:rPr>
          <w:sz w:val="28"/>
          <w:szCs w:val="28"/>
          <w:lang w:val="uk-UA"/>
        </w:rPr>
        <w:t>м голови Врадіїївської райдержадміністрації від 07 червня 2017 року № 116-р створена інвентаризаційна комісія щодо виявлення фактів незаконного обробітку земель</w:t>
      </w:r>
      <w:r w:rsidR="002F0EEC" w:rsidRPr="0095769B">
        <w:rPr>
          <w:sz w:val="28"/>
          <w:szCs w:val="28"/>
          <w:lang w:val="uk-UA"/>
        </w:rPr>
        <w:t xml:space="preserve"> сільськогосподарського призначення державної власності.</w:t>
      </w:r>
    </w:p>
    <w:p w:rsidR="0095769B" w:rsidRDefault="0095769B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Звернути увагу, що у Врадіївському районі мають місце факти використання земельних ділянок площею 240 га, наданих для сінокосіння та випасання худоби в оренду, не за цільовим призначенням.</w:t>
      </w:r>
    </w:p>
    <w:p w:rsidR="00DC018E" w:rsidRDefault="00B9197E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Врадіївській райдержадміністрації, Врадіївській районній раді, відділу у Врадіївському районі </w:t>
      </w:r>
      <w:r w:rsidRPr="00AF5C1F">
        <w:rPr>
          <w:sz w:val="28"/>
          <w:szCs w:val="28"/>
          <w:lang w:val="uk-UA"/>
        </w:rPr>
        <w:t>головного управління Держгеокадастру у Миколаївській області</w:t>
      </w:r>
      <w:r>
        <w:rPr>
          <w:sz w:val="28"/>
          <w:szCs w:val="28"/>
          <w:lang w:val="uk-UA"/>
        </w:rPr>
        <w:t>,</w:t>
      </w:r>
      <w:r w:rsidRPr="00AF5C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сільським та селищним головам Врадіївського району:</w:t>
      </w:r>
    </w:p>
    <w:p w:rsidR="00B9197E" w:rsidRDefault="00B9197E" w:rsidP="00B919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виїзні засідання інвентаризаційної комісії в селищній та сільських радах Врадіївського району</w:t>
      </w:r>
      <w:r w:rsidR="0013062E">
        <w:rPr>
          <w:sz w:val="28"/>
          <w:szCs w:val="28"/>
          <w:lang w:val="uk-UA"/>
        </w:rPr>
        <w:t>,</w:t>
      </w:r>
      <w:r w:rsidRPr="00B919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здійснити аналіз використання </w:t>
      </w:r>
      <w:r>
        <w:rPr>
          <w:sz w:val="28"/>
          <w:szCs w:val="28"/>
          <w:lang w:val="uk-UA"/>
        </w:rPr>
        <w:lastRenderedPageBreak/>
        <w:t xml:space="preserve">земельних ділянок </w:t>
      </w:r>
      <w:r w:rsidR="0013062E" w:rsidRPr="00797860">
        <w:rPr>
          <w:sz w:val="28"/>
          <w:szCs w:val="28"/>
          <w:lang w:val="uk-UA"/>
        </w:rPr>
        <w:t>державної власності сільськогосподарського призначення</w:t>
      </w:r>
      <w:r>
        <w:rPr>
          <w:sz w:val="28"/>
          <w:szCs w:val="28"/>
          <w:lang w:val="uk-UA"/>
        </w:rPr>
        <w:t>, у тому числі на предмет виявлення земельних ділянок, які використовуються без відповідної правовстановлюючої документації та з порушенням вимог чинного земельного законодавства;</w:t>
      </w:r>
    </w:p>
    <w:p w:rsidR="00E862C2" w:rsidRPr="0021169D" w:rsidRDefault="00E862C2" w:rsidP="00E862C2">
      <w:pPr>
        <w:ind w:firstLine="705"/>
        <w:jc w:val="both"/>
        <w:rPr>
          <w:sz w:val="28"/>
          <w:szCs w:val="28"/>
          <w:lang w:val="uk-UA"/>
        </w:rPr>
      </w:pPr>
      <w:r w:rsidRPr="0021169D">
        <w:rPr>
          <w:sz w:val="28"/>
          <w:szCs w:val="28"/>
          <w:lang w:val="uk-UA"/>
        </w:rPr>
        <w:t>перевір</w:t>
      </w:r>
      <w:r>
        <w:rPr>
          <w:sz w:val="28"/>
          <w:szCs w:val="28"/>
          <w:lang w:val="uk-UA"/>
        </w:rPr>
        <w:t>и</w:t>
      </w:r>
      <w:r w:rsidRPr="0021169D">
        <w:rPr>
          <w:sz w:val="28"/>
          <w:szCs w:val="28"/>
          <w:lang w:val="uk-UA"/>
        </w:rPr>
        <w:t>ти стан використання сіножатей, пасовищ та перелогів з метою виявлення фактів їх незаконного розорювання;</w:t>
      </w:r>
    </w:p>
    <w:p w:rsidR="0013062E" w:rsidRDefault="0013062E" w:rsidP="0013062E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інвентаризацію діючих договорів оренди земельних ділянок сільськогосподарського призначення </w:t>
      </w:r>
      <w:r w:rsidRPr="007F283A">
        <w:rPr>
          <w:sz w:val="28"/>
          <w:szCs w:val="28"/>
          <w:lang w:val="uk-UA"/>
        </w:rPr>
        <w:t>на предмет їх відповідності діючому законодавству в частині визначення розміру орендної плати</w:t>
      </w:r>
      <w:r>
        <w:rPr>
          <w:sz w:val="28"/>
          <w:szCs w:val="28"/>
          <w:lang w:val="uk-UA"/>
        </w:rPr>
        <w:t xml:space="preserve">, </w:t>
      </w:r>
      <w:r w:rsidRPr="007F28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своєчасності термінів її сплати, особливу увагу звернути на довгострокові договори оренди, по кожному орендарю провести роботу стосовно збільшення розміру орендної плати та організувати роботу щодо укладання додаткових угод;</w:t>
      </w:r>
    </w:p>
    <w:p w:rsidR="0013062E" w:rsidRDefault="0013062E" w:rsidP="0013062E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допускати використання суб</w:t>
      </w:r>
      <w:r w:rsidRPr="007F283A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єктами господарювання земель цієї категорії без відповідної державної реєстрації договорів оренди;</w:t>
      </w:r>
    </w:p>
    <w:p w:rsidR="0013062E" w:rsidRDefault="0013062E" w:rsidP="0013062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виявлення порушень щодо використання земельних ділянок цим підприємством звернутися до відповідних органів з метою вжиття заходів відповідного реагування;</w:t>
      </w:r>
    </w:p>
    <w:p w:rsidR="0013062E" w:rsidRDefault="0013062E" w:rsidP="0013062E">
      <w:pPr>
        <w:ind w:firstLine="705"/>
        <w:jc w:val="both"/>
        <w:rPr>
          <w:sz w:val="28"/>
          <w:szCs w:val="28"/>
          <w:lang w:val="uk-UA"/>
        </w:rPr>
      </w:pPr>
      <w:r w:rsidRPr="00D41FC8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ити</w:t>
      </w:r>
      <w:r w:rsidRPr="00D41FC8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і</w:t>
      </w:r>
      <w:r w:rsidRPr="00D41FC8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D41F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державної власності </w:t>
      </w:r>
      <w:r w:rsidRPr="00D41FC8">
        <w:rPr>
          <w:sz w:val="28"/>
          <w:szCs w:val="28"/>
          <w:lang w:val="uk-UA"/>
        </w:rPr>
        <w:t>для продажу права оренди на них.</w:t>
      </w:r>
    </w:p>
    <w:p w:rsidR="0013062E" w:rsidRDefault="0013062E" w:rsidP="0013062E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проведену роботу </w:t>
      </w:r>
      <w:r w:rsidR="00E32249">
        <w:rPr>
          <w:sz w:val="28"/>
          <w:szCs w:val="28"/>
          <w:lang w:val="uk-UA"/>
        </w:rPr>
        <w:t>проінформувати обласну раду до 15</w:t>
      </w:r>
      <w:r>
        <w:rPr>
          <w:sz w:val="28"/>
          <w:szCs w:val="28"/>
          <w:lang w:val="uk-UA"/>
        </w:rPr>
        <w:t xml:space="preserve"> </w:t>
      </w:r>
      <w:r w:rsidR="00E32249">
        <w:rPr>
          <w:sz w:val="28"/>
          <w:szCs w:val="28"/>
          <w:lang w:val="uk-UA"/>
        </w:rPr>
        <w:t>жовтня</w:t>
      </w:r>
      <w:r w:rsidR="00C114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2017 року.</w:t>
      </w:r>
    </w:p>
    <w:p w:rsidR="00D47DE4" w:rsidRDefault="00D47DE4" w:rsidP="00D47DE4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Рекомендувати</w:t>
      </w:r>
      <w:r w:rsidRPr="008520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головному управлінню Держгеокадастру у Миколаївській області надати постійній комісії обласної ради до 30 вересня 2017 року в розрізі місцевих рад Врадіївського району інформацію про проведені перевірки дотримання вимог земельного законодавства із зазначенням: дати проведення перевірки, правопорушника, площі земельної ділянки, розміру заподіяних збитків та сплачених штрафів.</w:t>
      </w:r>
    </w:p>
    <w:p w:rsidR="0095769B" w:rsidRPr="0095769B" w:rsidRDefault="00D47DE4" w:rsidP="00D47DE4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95769B">
        <w:rPr>
          <w:sz w:val="28"/>
          <w:szCs w:val="28"/>
          <w:lang w:val="uk-UA"/>
        </w:rPr>
        <w:t xml:space="preserve">Рекомендувати управлінню з контролю за використанням та охороною земель </w:t>
      </w:r>
      <w:r w:rsidR="0095769B" w:rsidRPr="00AF5C1F">
        <w:rPr>
          <w:sz w:val="28"/>
          <w:szCs w:val="28"/>
          <w:lang w:val="uk-UA"/>
        </w:rPr>
        <w:t>головного управління Держгеокадастру у Миколаївській області</w:t>
      </w:r>
      <w:r w:rsidR="0095769B">
        <w:rPr>
          <w:sz w:val="28"/>
          <w:szCs w:val="28"/>
          <w:lang w:val="uk-UA"/>
        </w:rPr>
        <w:t xml:space="preserve"> до кінця 2017 року провести позапланову перевірку</w:t>
      </w:r>
      <w:r w:rsidR="00DC018E">
        <w:rPr>
          <w:sz w:val="28"/>
          <w:szCs w:val="28"/>
          <w:lang w:val="uk-UA"/>
        </w:rPr>
        <w:t xml:space="preserve"> дотримання вимог земельного законодавства у Врадіївському районі, у разі виявлення порушень вжити заходів відповідного реагування.</w:t>
      </w:r>
    </w:p>
    <w:p w:rsidR="0013062E" w:rsidRDefault="0013062E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проведену роботу проінформувати обласну раду до </w:t>
      </w:r>
      <w:r w:rsidR="00592504">
        <w:rPr>
          <w:sz w:val="28"/>
          <w:szCs w:val="28"/>
          <w:lang w:val="uk-UA"/>
        </w:rPr>
        <w:t>15 жовтня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  </w:t>
      </w:r>
      <w:r w:rsidR="00D47DE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2017 року.</w:t>
      </w:r>
    </w:p>
    <w:p w:rsidR="002F0EEC" w:rsidRDefault="0013062E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2F0EEC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94F61" w:rsidRPr="00514BCA" w:rsidRDefault="00994F61" w:rsidP="00994F61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994F61" w:rsidRDefault="00994F61" w:rsidP="00994F61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О.М.Ясинський</w:t>
      </w:r>
    </w:p>
    <w:p w:rsidR="003705C2" w:rsidRDefault="003705C2" w:rsidP="00994F61">
      <w:pPr>
        <w:jc w:val="both"/>
        <w:rPr>
          <w:lang w:val="uk-UA"/>
        </w:rPr>
      </w:pPr>
    </w:p>
    <w:sectPr w:rsidR="003705C2" w:rsidSect="007F4F3E">
      <w:headerReference w:type="default" r:id="rId11"/>
      <w:pgSz w:w="11906" w:h="16838"/>
      <w:pgMar w:top="1134" w:right="567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E51" w:rsidRDefault="00192E51" w:rsidP="008174BA">
      <w:r>
        <w:separator/>
      </w:r>
    </w:p>
  </w:endnote>
  <w:endnote w:type="continuationSeparator" w:id="0">
    <w:p w:rsidR="00192E51" w:rsidRDefault="00192E5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E51" w:rsidRDefault="00192E51" w:rsidP="008174BA">
      <w:r>
        <w:separator/>
      </w:r>
    </w:p>
  </w:footnote>
  <w:footnote w:type="continuationSeparator" w:id="0">
    <w:p w:rsidR="00192E51" w:rsidRDefault="00192E5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92504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6BA"/>
    <w:rsid w:val="000106F4"/>
    <w:rsid w:val="000118D1"/>
    <w:rsid w:val="00012305"/>
    <w:rsid w:val="00027B40"/>
    <w:rsid w:val="000450CA"/>
    <w:rsid w:val="00055E22"/>
    <w:rsid w:val="0006110D"/>
    <w:rsid w:val="000637BB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3C79"/>
    <w:rsid w:val="00130226"/>
    <w:rsid w:val="0013062E"/>
    <w:rsid w:val="0013477B"/>
    <w:rsid w:val="00153902"/>
    <w:rsid w:val="001557C7"/>
    <w:rsid w:val="001641BC"/>
    <w:rsid w:val="001809AF"/>
    <w:rsid w:val="00185B54"/>
    <w:rsid w:val="00192E51"/>
    <w:rsid w:val="0019433E"/>
    <w:rsid w:val="001A4371"/>
    <w:rsid w:val="001B0699"/>
    <w:rsid w:val="001B0F4A"/>
    <w:rsid w:val="001C6E27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47FD4"/>
    <w:rsid w:val="00251D0C"/>
    <w:rsid w:val="00251F52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0EEC"/>
    <w:rsid w:val="002F104C"/>
    <w:rsid w:val="002F184B"/>
    <w:rsid w:val="00305ED3"/>
    <w:rsid w:val="00315F32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53C9D"/>
    <w:rsid w:val="00461689"/>
    <w:rsid w:val="004618B6"/>
    <w:rsid w:val="0046203D"/>
    <w:rsid w:val="0047192B"/>
    <w:rsid w:val="004772B5"/>
    <w:rsid w:val="00477EE1"/>
    <w:rsid w:val="00491DFC"/>
    <w:rsid w:val="00493FF2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2504"/>
    <w:rsid w:val="00595CD9"/>
    <w:rsid w:val="005B0010"/>
    <w:rsid w:val="005B4C20"/>
    <w:rsid w:val="005C73A2"/>
    <w:rsid w:val="005D51C5"/>
    <w:rsid w:val="005F3A92"/>
    <w:rsid w:val="005F62AB"/>
    <w:rsid w:val="00605094"/>
    <w:rsid w:val="0061124D"/>
    <w:rsid w:val="00623323"/>
    <w:rsid w:val="00636F5C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D52"/>
    <w:rsid w:val="00706F22"/>
    <w:rsid w:val="00707650"/>
    <w:rsid w:val="0071248D"/>
    <w:rsid w:val="00717B11"/>
    <w:rsid w:val="00720910"/>
    <w:rsid w:val="007210ED"/>
    <w:rsid w:val="00725581"/>
    <w:rsid w:val="007277D7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E077F"/>
    <w:rsid w:val="007E51E5"/>
    <w:rsid w:val="007E65AF"/>
    <w:rsid w:val="007E74B4"/>
    <w:rsid w:val="007F3364"/>
    <w:rsid w:val="007F4F3E"/>
    <w:rsid w:val="007F7B49"/>
    <w:rsid w:val="00800686"/>
    <w:rsid w:val="00800A73"/>
    <w:rsid w:val="008037D2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0CA1"/>
    <w:rsid w:val="00873FA4"/>
    <w:rsid w:val="00893B58"/>
    <w:rsid w:val="008966DF"/>
    <w:rsid w:val="008A06AA"/>
    <w:rsid w:val="008A4BF0"/>
    <w:rsid w:val="008A6B38"/>
    <w:rsid w:val="008C63A4"/>
    <w:rsid w:val="008E3DB9"/>
    <w:rsid w:val="008F1CAF"/>
    <w:rsid w:val="008F3B8B"/>
    <w:rsid w:val="008F4796"/>
    <w:rsid w:val="008F77A3"/>
    <w:rsid w:val="0090364C"/>
    <w:rsid w:val="0090607C"/>
    <w:rsid w:val="009234EA"/>
    <w:rsid w:val="009311DE"/>
    <w:rsid w:val="00934828"/>
    <w:rsid w:val="009415A6"/>
    <w:rsid w:val="00941A89"/>
    <w:rsid w:val="00943A85"/>
    <w:rsid w:val="00945016"/>
    <w:rsid w:val="0095769B"/>
    <w:rsid w:val="00977014"/>
    <w:rsid w:val="009852F4"/>
    <w:rsid w:val="00994F61"/>
    <w:rsid w:val="009B77E7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6429"/>
    <w:rsid w:val="00B568E3"/>
    <w:rsid w:val="00B63479"/>
    <w:rsid w:val="00B65484"/>
    <w:rsid w:val="00B67061"/>
    <w:rsid w:val="00B75D70"/>
    <w:rsid w:val="00B82CF3"/>
    <w:rsid w:val="00B85EC5"/>
    <w:rsid w:val="00B8632D"/>
    <w:rsid w:val="00B9197E"/>
    <w:rsid w:val="00B947B9"/>
    <w:rsid w:val="00BA79E1"/>
    <w:rsid w:val="00BA7AD9"/>
    <w:rsid w:val="00BB3AA3"/>
    <w:rsid w:val="00BC1C09"/>
    <w:rsid w:val="00BC57EC"/>
    <w:rsid w:val="00BD49CA"/>
    <w:rsid w:val="00BD7728"/>
    <w:rsid w:val="00BE4F0E"/>
    <w:rsid w:val="00C011C0"/>
    <w:rsid w:val="00C110CE"/>
    <w:rsid w:val="00C11484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CF226F"/>
    <w:rsid w:val="00D15D7D"/>
    <w:rsid w:val="00D17802"/>
    <w:rsid w:val="00D379A4"/>
    <w:rsid w:val="00D44618"/>
    <w:rsid w:val="00D47317"/>
    <w:rsid w:val="00D47DE4"/>
    <w:rsid w:val="00D47FF8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018E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17450"/>
    <w:rsid w:val="00E32249"/>
    <w:rsid w:val="00E340E4"/>
    <w:rsid w:val="00E34679"/>
    <w:rsid w:val="00E37A9A"/>
    <w:rsid w:val="00E45C26"/>
    <w:rsid w:val="00E474FA"/>
    <w:rsid w:val="00E5798C"/>
    <w:rsid w:val="00E657E3"/>
    <w:rsid w:val="00E664FF"/>
    <w:rsid w:val="00E70AF5"/>
    <w:rsid w:val="00E86079"/>
    <w:rsid w:val="00E862C2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76BD7"/>
    <w:rsid w:val="00F86BF2"/>
    <w:rsid w:val="00FA21CF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C3DA4-A3FC-4049-A79C-FAD72FF59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135</cp:revision>
  <cp:lastPrinted>2017-03-22T06:21:00Z</cp:lastPrinted>
  <dcterms:created xsi:type="dcterms:W3CDTF">2012-05-17T11:27:00Z</dcterms:created>
  <dcterms:modified xsi:type="dcterms:W3CDTF">2017-08-30T07:03:00Z</dcterms:modified>
</cp:coreProperties>
</file>