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A763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65433015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0637BB" w:rsidP="004C7E7F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C7E7F">
              <w:rPr>
                <w:sz w:val="28"/>
                <w:szCs w:val="28"/>
                <w:lang w:val="uk-UA"/>
              </w:rPr>
              <w:t>9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4C7E7F">
              <w:rPr>
                <w:sz w:val="28"/>
                <w:szCs w:val="28"/>
                <w:lang w:val="uk-UA"/>
              </w:rPr>
              <w:t>серпня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6A4409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AD6A2B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6A4409" w:rsidRDefault="006A4409" w:rsidP="00CF22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хід виконання рекомендацій постійної комісії обласної ради з питань </w:t>
            </w:r>
            <w:r w:rsidRPr="00DF4091">
              <w:rPr>
                <w:sz w:val="28"/>
                <w:szCs w:val="28"/>
                <w:lang w:val="uk-UA"/>
              </w:rPr>
              <w:t>аграрної політики, земельних відносин та соціального розвитку села</w:t>
            </w:r>
            <w:r>
              <w:rPr>
                <w:sz w:val="28"/>
                <w:szCs w:val="28"/>
                <w:lang w:val="uk-UA"/>
              </w:rPr>
              <w:t xml:space="preserve"> від 02 червня </w:t>
            </w:r>
            <w:r w:rsidR="00426063"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2016 року № 2 «</w:t>
            </w:r>
            <w:r w:rsidRPr="00DF4091">
              <w:rPr>
                <w:sz w:val="28"/>
                <w:szCs w:val="28"/>
                <w:lang w:val="uk-UA"/>
              </w:rPr>
              <w:t>Про збільшення сільськими та селищними радами ставок земельного податку за користування сільськогосподарськими угіддями (ріллею)</w:t>
            </w:r>
            <w:r>
              <w:rPr>
                <w:sz w:val="28"/>
                <w:szCs w:val="28"/>
                <w:lang w:val="uk-UA"/>
              </w:rPr>
              <w:t>»</w:t>
            </w:r>
          </w:p>
          <w:p w:rsidR="002D5D7B" w:rsidRPr="00F24CB8" w:rsidRDefault="002D5D7B" w:rsidP="006A440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EEC" w:rsidRDefault="002F0EEC" w:rsidP="002F0EEC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зазначеного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2F0EEC" w:rsidRDefault="002F0EEC" w:rsidP="002F0E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2F0EEC" w:rsidRPr="008D41D4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AF5C1F"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AF5C1F">
        <w:rPr>
          <w:sz w:val="28"/>
          <w:szCs w:val="28"/>
          <w:lang w:val="uk-UA"/>
        </w:rPr>
        <w:t xml:space="preserve"> </w:t>
      </w:r>
      <w:r w:rsidR="00A64992">
        <w:rPr>
          <w:sz w:val="28"/>
          <w:szCs w:val="28"/>
          <w:lang w:val="uk-UA"/>
        </w:rPr>
        <w:t>районних рад</w:t>
      </w:r>
      <w:r w:rsidRPr="00AF5C1F">
        <w:rPr>
          <w:sz w:val="28"/>
          <w:szCs w:val="28"/>
          <w:lang w:val="uk-UA"/>
        </w:rPr>
        <w:t xml:space="preserve"> із зазначеного питання взяти до відома.</w:t>
      </w:r>
    </w:p>
    <w:p w:rsidR="00BC748E" w:rsidRPr="00BC748E" w:rsidRDefault="00BC748E" w:rsidP="00BC748E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BC748E">
        <w:rPr>
          <w:sz w:val="28"/>
          <w:szCs w:val="28"/>
          <w:lang w:val="uk-UA"/>
        </w:rPr>
        <w:t xml:space="preserve">Відмітити, що відповідно до </w:t>
      </w:r>
      <w:r w:rsidR="00B84728">
        <w:rPr>
          <w:sz w:val="28"/>
          <w:szCs w:val="28"/>
          <w:lang w:val="uk-UA"/>
        </w:rPr>
        <w:t xml:space="preserve">чинного </w:t>
      </w:r>
      <w:r w:rsidRPr="00BC748E">
        <w:rPr>
          <w:sz w:val="28"/>
          <w:szCs w:val="28"/>
          <w:lang w:val="uk-UA"/>
        </w:rPr>
        <w:t xml:space="preserve">податкового законодавства плата за землю, як складова податку на майно, включена до переліку місцевих податків. Особливістю є те, що місцеві податки встановлюються рішеннями </w:t>
      </w:r>
      <w:r>
        <w:rPr>
          <w:sz w:val="28"/>
          <w:szCs w:val="28"/>
          <w:lang w:val="uk-UA"/>
        </w:rPr>
        <w:t>відповідних місцевих</w:t>
      </w:r>
      <w:r w:rsidRPr="00BC748E">
        <w:rPr>
          <w:sz w:val="28"/>
          <w:szCs w:val="28"/>
          <w:lang w:val="uk-UA"/>
        </w:rPr>
        <w:t xml:space="preserve"> рад. При цьому плата за землю, є обов’язковою для встановлення місцевими радами.</w:t>
      </w:r>
    </w:p>
    <w:p w:rsidR="009B7041" w:rsidRDefault="009B7041" w:rsidP="00B8472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Зазначити, що </w:t>
      </w:r>
      <w:r w:rsidR="00B84728">
        <w:rPr>
          <w:sz w:val="28"/>
          <w:szCs w:val="28"/>
          <w:lang w:val="uk-UA"/>
        </w:rPr>
        <w:t xml:space="preserve">на </w:t>
      </w:r>
      <w:r w:rsidR="00B84728" w:rsidRPr="00B84728">
        <w:rPr>
          <w:sz w:val="28"/>
          <w:szCs w:val="28"/>
          <w:lang w:val="uk-UA"/>
        </w:rPr>
        <w:t>виконання рекомендацій постійної комісії обласної ради від 02 червня 2016 року № 2 «Про збільшення сільськими та селищними радами ставок земельного податку за користування сільськогосподарськими угіддями (ріллею)»</w:t>
      </w:r>
      <w:r w:rsidR="00B847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забезпечення збільшення доходної частини місцевих бюджетів територіальних громад області, вирівнювання податкового навантаження на 1 га сільськогосподарських угідь</w:t>
      </w:r>
      <w:r w:rsidR="00BC74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обласною радою та облдержадміністрацією проведена системна </w:t>
      </w:r>
      <w:r w:rsidR="00B84728">
        <w:rPr>
          <w:sz w:val="28"/>
          <w:szCs w:val="28"/>
          <w:lang w:val="uk-UA"/>
        </w:rPr>
        <w:t>роз</w:t>
      </w:r>
      <w:r w:rsidR="00B84728" w:rsidRPr="00B84728">
        <w:rPr>
          <w:sz w:val="28"/>
          <w:szCs w:val="28"/>
          <w:lang w:val="uk-UA"/>
        </w:rPr>
        <w:t>’</w:t>
      </w:r>
      <w:r w:rsidR="00B84728">
        <w:rPr>
          <w:sz w:val="28"/>
          <w:szCs w:val="28"/>
          <w:lang w:val="uk-UA"/>
        </w:rPr>
        <w:t xml:space="preserve">яснювальна </w:t>
      </w:r>
      <w:r>
        <w:rPr>
          <w:sz w:val="28"/>
          <w:szCs w:val="28"/>
          <w:lang w:val="uk-UA"/>
        </w:rPr>
        <w:t xml:space="preserve">робота з керівництвом кожного району щодо сприяння у прийнятті рішень місцевими радами про встановлення ставки </w:t>
      </w:r>
      <w:r w:rsidRPr="00DF4091">
        <w:rPr>
          <w:sz w:val="28"/>
          <w:szCs w:val="28"/>
          <w:lang w:val="uk-UA"/>
        </w:rPr>
        <w:t>земельного податку за користування сільськогосподарськими угіддями (ріллею)</w:t>
      </w:r>
      <w:r>
        <w:rPr>
          <w:sz w:val="28"/>
          <w:szCs w:val="28"/>
          <w:lang w:val="uk-UA"/>
        </w:rPr>
        <w:t xml:space="preserve"> у розмірі </w:t>
      </w:r>
      <w:r w:rsidR="00736DC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 відсотка від їх нормативно-грошової оцінки.</w:t>
      </w:r>
    </w:p>
    <w:p w:rsidR="00BC748E" w:rsidRDefault="009B7041" w:rsidP="00534109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Звернути увагу, що </w:t>
      </w:r>
      <w:r w:rsidR="00F6707D">
        <w:rPr>
          <w:sz w:val="28"/>
          <w:szCs w:val="28"/>
          <w:lang w:val="uk-UA"/>
        </w:rPr>
        <w:t xml:space="preserve">за оперативною інформацією районних рад </w:t>
      </w:r>
      <w:r>
        <w:rPr>
          <w:sz w:val="28"/>
          <w:szCs w:val="28"/>
          <w:lang w:val="uk-UA"/>
        </w:rPr>
        <w:t xml:space="preserve">не всі місцеві ради </w:t>
      </w:r>
      <w:r w:rsidR="00BC748E">
        <w:rPr>
          <w:sz w:val="28"/>
          <w:szCs w:val="28"/>
          <w:lang w:val="uk-UA"/>
        </w:rPr>
        <w:t xml:space="preserve">прийняли рішення про встановлення ставки </w:t>
      </w:r>
      <w:r w:rsidR="00BC748E" w:rsidRPr="00DF4091">
        <w:rPr>
          <w:sz w:val="28"/>
          <w:szCs w:val="28"/>
          <w:lang w:val="uk-UA"/>
        </w:rPr>
        <w:t xml:space="preserve">земельного </w:t>
      </w:r>
      <w:r w:rsidR="00BC748E" w:rsidRPr="00DF4091">
        <w:rPr>
          <w:sz w:val="28"/>
          <w:szCs w:val="28"/>
          <w:lang w:val="uk-UA"/>
        </w:rPr>
        <w:lastRenderedPageBreak/>
        <w:t>податку за користування сільськогосподарськими угіддями (ріллею)</w:t>
      </w:r>
      <w:r w:rsidR="00BC748E">
        <w:rPr>
          <w:sz w:val="28"/>
          <w:szCs w:val="28"/>
          <w:lang w:val="uk-UA"/>
        </w:rPr>
        <w:t xml:space="preserve"> у розмірі </w:t>
      </w:r>
      <w:r w:rsidR="00F6707D">
        <w:rPr>
          <w:sz w:val="28"/>
          <w:szCs w:val="28"/>
          <w:lang w:val="uk-UA"/>
        </w:rPr>
        <w:t xml:space="preserve">   </w:t>
      </w:r>
      <w:r w:rsidR="00BC748E">
        <w:rPr>
          <w:sz w:val="28"/>
          <w:szCs w:val="28"/>
          <w:lang w:val="uk-UA"/>
        </w:rPr>
        <w:t>1 відсотка від їх нормативно-грошової оцінки</w:t>
      </w:r>
      <w:r w:rsidR="00534109">
        <w:rPr>
          <w:sz w:val="28"/>
          <w:szCs w:val="28"/>
          <w:lang w:val="uk-UA"/>
        </w:rPr>
        <w:t xml:space="preserve">, </w:t>
      </w:r>
      <w:r w:rsidR="00534109" w:rsidRPr="00534109">
        <w:rPr>
          <w:sz w:val="28"/>
          <w:szCs w:val="28"/>
          <w:lang w:val="uk-UA"/>
        </w:rPr>
        <w:t>мотиву</w:t>
      </w:r>
      <w:r w:rsidR="00534109">
        <w:rPr>
          <w:sz w:val="28"/>
          <w:szCs w:val="28"/>
          <w:lang w:val="uk-UA"/>
        </w:rPr>
        <w:t>ючи</w:t>
      </w:r>
      <w:r w:rsidR="00534109" w:rsidRPr="00534109">
        <w:rPr>
          <w:sz w:val="28"/>
          <w:szCs w:val="28"/>
          <w:lang w:val="uk-UA"/>
        </w:rPr>
        <w:t xml:space="preserve"> діючими граничними </w:t>
      </w:r>
      <w:r w:rsidR="00534109">
        <w:rPr>
          <w:sz w:val="28"/>
          <w:szCs w:val="28"/>
          <w:lang w:val="uk-UA"/>
        </w:rPr>
        <w:t xml:space="preserve">мінімальними </w:t>
      </w:r>
      <w:r w:rsidR="00534109" w:rsidRPr="00534109">
        <w:rPr>
          <w:sz w:val="28"/>
          <w:szCs w:val="28"/>
          <w:lang w:val="uk-UA"/>
        </w:rPr>
        <w:t>межами</w:t>
      </w:r>
      <w:r w:rsidR="00534109">
        <w:rPr>
          <w:sz w:val="28"/>
          <w:szCs w:val="28"/>
          <w:lang w:val="uk-UA"/>
        </w:rPr>
        <w:t xml:space="preserve"> ставки (0,3 відсотка)</w:t>
      </w:r>
      <w:r w:rsidR="00534109" w:rsidRPr="00534109">
        <w:rPr>
          <w:sz w:val="28"/>
          <w:szCs w:val="28"/>
          <w:lang w:val="uk-UA"/>
        </w:rPr>
        <w:t>, визначеними пункт</w:t>
      </w:r>
      <w:r w:rsidR="008D0CBB">
        <w:rPr>
          <w:sz w:val="28"/>
          <w:szCs w:val="28"/>
          <w:lang w:val="uk-UA"/>
        </w:rPr>
        <w:t>ом</w:t>
      </w:r>
      <w:r w:rsidR="00534109" w:rsidRPr="00534109">
        <w:rPr>
          <w:sz w:val="28"/>
          <w:szCs w:val="28"/>
          <w:lang w:val="uk-UA"/>
        </w:rPr>
        <w:t xml:space="preserve"> 274.1 статті 274 Податкового кодексу України</w:t>
      </w:r>
      <w:r w:rsidR="00BC748E">
        <w:rPr>
          <w:sz w:val="28"/>
          <w:szCs w:val="28"/>
          <w:lang w:val="uk-UA"/>
        </w:rPr>
        <w:t>.</w:t>
      </w:r>
    </w:p>
    <w:p w:rsidR="009B7041" w:rsidRDefault="00B84728" w:rsidP="00B8472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Звернути увагу, що відповідно до </w:t>
      </w:r>
      <w:r w:rsidRPr="00B84728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Pr="00B84728">
        <w:rPr>
          <w:sz w:val="28"/>
          <w:szCs w:val="28"/>
          <w:lang w:val="uk-UA"/>
        </w:rPr>
        <w:t>п. 12.3.4 п. 12.3 ст. 12 Податкового кодексу України</w:t>
      </w:r>
      <w:r>
        <w:rPr>
          <w:sz w:val="28"/>
          <w:szCs w:val="28"/>
          <w:lang w:val="uk-UA"/>
        </w:rPr>
        <w:t xml:space="preserve"> р</w:t>
      </w:r>
      <w:r w:rsidRPr="00B84728">
        <w:rPr>
          <w:sz w:val="28"/>
          <w:szCs w:val="28"/>
          <w:lang w:val="uk-UA"/>
        </w:rPr>
        <w:t>ішення про встановлення місцевих податків та зборів офіційно оприлюднюється відповідним органом місцевого самоврядування до 15 липня року, що передує бюджетному періоду, в якому планується застосовування встановлюваних місцевих податків та зборів або змін (плановий період). В іншому разі норми відповідних рішень застосовуються не раніше початку бюджетного періоду, що настає за плановим періодом.</w:t>
      </w:r>
    </w:p>
    <w:p w:rsidR="00966624" w:rsidRDefault="00224FE3" w:rsidP="00966624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рішення обласної ради від 27 липня 2017 року № 20 «Про встановлення розміру земельного податку для земель сільськогосподарського призначення (ріллі)», р</w:t>
      </w:r>
      <w:r w:rsidR="002F0EEC" w:rsidRPr="00B84728">
        <w:rPr>
          <w:sz w:val="28"/>
          <w:szCs w:val="28"/>
          <w:lang w:val="uk-UA"/>
        </w:rPr>
        <w:t xml:space="preserve">екомендувати </w:t>
      </w:r>
      <w:r w:rsidR="00B84728" w:rsidRPr="00B84728">
        <w:rPr>
          <w:sz w:val="28"/>
          <w:szCs w:val="28"/>
          <w:lang w:val="uk-UA"/>
        </w:rPr>
        <w:t xml:space="preserve">головам райдержадміністрацій та районних рад </w:t>
      </w:r>
      <w:r w:rsidR="00C85417">
        <w:rPr>
          <w:sz w:val="28"/>
          <w:szCs w:val="28"/>
          <w:lang w:val="uk-UA"/>
        </w:rPr>
        <w:t xml:space="preserve">з метою збільшення надходжень до місцевих бюджетів </w:t>
      </w:r>
      <w:r w:rsidR="00B84728">
        <w:rPr>
          <w:sz w:val="28"/>
          <w:szCs w:val="28"/>
          <w:lang w:val="uk-UA"/>
        </w:rPr>
        <w:t>провести роз</w:t>
      </w:r>
      <w:r w:rsidR="00B84728" w:rsidRPr="00B84728">
        <w:rPr>
          <w:sz w:val="28"/>
          <w:szCs w:val="28"/>
          <w:lang w:val="uk-UA"/>
        </w:rPr>
        <w:t>’</w:t>
      </w:r>
      <w:r w:rsidR="00B84728">
        <w:rPr>
          <w:sz w:val="28"/>
          <w:szCs w:val="28"/>
          <w:lang w:val="uk-UA"/>
        </w:rPr>
        <w:t xml:space="preserve">яснювальну роботу з </w:t>
      </w:r>
      <w:r>
        <w:rPr>
          <w:sz w:val="28"/>
          <w:szCs w:val="28"/>
          <w:lang w:val="uk-UA"/>
        </w:rPr>
        <w:t>сільськими, селищними головами, головами об</w:t>
      </w:r>
      <w:r w:rsidRPr="00B8472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єднаних територіальних громад, що створені згідно із законом та перспективним планом, </w:t>
      </w:r>
      <w:r w:rsidR="002F0EEC" w:rsidRPr="00B84728">
        <w:rPr>
          <w:sz w:val="28"/>
          <w:szCs w:val="28"/>
          <w:lang w:val="uk-UA"/>
        </w:rPr>
        <w:t>щодо</w:t>
      </w:r>
      <w:r w:rsidR="00B84728">
        <w:rPr>
          <w:sz w:val="28"/>
          <w:szCs w:val="28"/>
          <w:lang w:val="uk-UA"/>
        </w:rPr>
        <w:t xml:space="preserve"> перегляду раніше прийнятих рішень </w:t>
      </w:r>
      <w:r w:rsidR="00426063">
        <w:rPr>
          <w:sz w:val="28"/>
          <w:szCs w:val="28"/>
          <w:lang w:val="uk-UA"/>
        </w:rPr>
        <w:t xml:space="preserve">місцевими радами </w:t>
      </w:r>
      <w:r w:rsidR="00B84728">
        <w:rPr>
          <w:sz w:val="28"/>
          <w:szCs w:val="28"/>
          <w:lang w:val="uk-UA"/>
        </w:rPr>
        <w:t xml:space="preserve">стосовно встановлення </w:t>
      </w:r>
      <w:r w:rsidR="00966624">
        <w:rPr>
          <w:sz w:val="28"/>
          <w:szCs w:val="28"/>
          <w:lang w:val="uk-UA"/>
        </w:rPr>
        <w:t xml:space="preserve">ставок земельного податку </w:t>
      </w:r>
      <w:r w:rsidR="00966624" w:rsidRPr="00DF4091">
        <w:rPr>
          <w:sz w:val="28"/>
          <w:szCs w:val="28"/>
          <w:lang w:val="uk-UA"/>
        </w:rPr>
        <w:t>за користування сільськогосподарськими угіддями (ріллею)</w:t>
      </w:r>
      <w:r w:rsidR="00966624">
        <w:rPr>
          <w:sz w:val="28"/>
          <w:szCs w:val="28"/>
          <w:lang w:val="uk-UA"/>
        </w:rPr>
        <w:t xml:space="preserve"> у максимальному розмірі, визначеному </w:t>
      </w:r>
      <w:r w:rsidR="00966624" w:rsidRPr="00B84728">
        <w:rPr>
          <w:sz w:val="28"/>
          <w:szCs w:val="28"/>
          <w:lang w:val="uk-UA"/>
        </w:rPr>
        <w:t>Податков</w:t>
      </w:r>
      <w:r w:rsidR="00966624">
        <w:rPr>
          <w:sz w:val="28"/>
          <w:szCs w:val="28"/>
          <w:lang w:val="uk-UA"/>
        </w:rPr>
        <w:t>им</w:t>
      </w:r>
      <w:r w:rsidR="00966624" w:rsidRPr="00B84728">
        <w:rPr>
          <w:sz w:val="28"/>
          <w:szCs w:val="28"/>
          <w:lang w:val="uk-UA"/>
        </w:rPr>
        <w:t xml:space="preserve"> кодекс</w:t>
      </w:r>
      <w:r w:rsidR="00966624">
        <w:rPr>
          <w:sz w:val="28"/>
          <w:szCs w:val="28"/>
          <w:lang w:val="uk-UA"/>
        </w:rPr>
        <w:t>ом</w:t>
      </w:r>
      <w:r w:rsidR="00966624" w:rsidRPr="00B84728">
        <w:rPr>
          <w:sz w:val="28"/>
          <w:szCs w:val="28"/>
          <w:lang w:val="uk-UA"/>
        </w:rPr>
        <w:t xml:space="preserve"> України</w:t>
      </w:r>
      <w:r w:rsidR="00966624">
        <w:rPr>
          <w:sz w:val="28"/>
          <w:szCs w:val="28"/>
          <w:lang w:val="uk-UA"/>
        </w:rPr>
        <w:t>, - у розмірі 1 відсотка від їх нормативно-грошової оцінки.</w:t>
      </w:r>
    </w:p>
    <w:p w:rsidR="002F0EEC" w:rsidRPr="00B84728" w:rsidRDefault="00966624" w:rsidP="0096662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проведену роботу проінформувати обласну раду до 01 жовтня       2017 року.</w:t>
      </w:r>
    </w:p>
    <w:p w:rsidR="002F0EEC" w:rsidRDefault="00966624" w:rsidP="002F0E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F0EEC">
        <w:rPr>
          <w:sz w:val="28"/>
          <w:szCs w:val="28"/>
          <w:lang w:val="uk-UA"/>
        </w:rPr>
        <w:t xml:space="preserve">. </w:t>
      </w:r>
      <w:r w:rsidR="002F0EEC"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506B19" w:rsidRDefault="00506B1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AD6A2B" w:rsidRPr="00514BCA" w:rsidRDefault="00AD6A2B" w:rsidP="00AD6A2B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AD6A2B" w:rsidRDefault="00AD6A2B" w:rsidP="00AD6A2B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О.М.Ясинський</w:t>
      </w:r>
    </w:p>
    <w:p w:rsidR="003705C2" w:rsidRDefault="003705C2" w:rsidP="00AD6A2B">
      <w:pPr>
        <w:jc w:val="both"/>
        <w:rPr>
          <w:lang w:val="uk-UA"/>
        </w:rPr>
      </w:pPr>
      <w:bookmarkStart w:id="0" w:name="_GoBack"/>
      <w:bookmarkEnd w:id="0"/>
    </w:p>
    <w:sectPr w:rsidR="003705C2" w:rsidSect="007F4F3E">
      <w:headerReference w:type="default" r:id="rId11"/>
      <w:pgSz w:w="11906" w:h="16838"/>
      <w:pgMar w:top="1134" w:right="567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633" w:rsidRDefault="004A7633" w:rsidP="008174BA">
      <w:r>
        <w:separator/>
      </w:r>
    </w:p>
  </w:endnote>
  <w:endnote w:type="continuationSeparator" w:id="0">
    <w:p w:rsidR="004A7633" w:rsidRDefault="004A763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633" w:rsidRDefault="004A7633" w:rsidP="008174BA">
      <w:r>
        <w:separator/>
      </w:r>
    </w:p>
  </w:footnote>
  <w:footnote w:type="continuationSeparator" w:id="0">
    <w:p w:rsidR="004A7633" w:rsidRDefault="004A763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D6A2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2A5E"/>
    <w:rsid w:val="000046BA"/>
    <w:rsid w:val="000106F4"/>
    <w:rsid w:val="000118D1"/>
    <w:rsid w:val="00012305"/>
    <w:rsid w:val="00027B40"/>
    <w:rsid w:val="000450CA"/>
    <w:rsid w:val="00055E22"/>
    <w:rsid w:val="0006110D"/>
    <w:rsid w:val="000637BB"/>
    <w:rsid w:val="0007300D"/>
    <w:rsid w:val="000806A1"/>
    <w:rsid w:val="000A4755"/>
    <w:rsid w:val="000A7359"/>
    <w:rsid w:val="000B2259"/>
    <w:rsid w:val="000D17A9"/>
    <w:rsid w:val="000D194A"/>
    <w:rsid w:val="000E2CA3"/>
    <w:rsid w:val="000E4CC9"/>
    <w:rsid w:val="000E7258"/>
    <w:rsid w:val="000F7C98"/>
    <w:rsid w:val="00123C79"/>
    <w:rsid w:val="00130226"/>
    <w:rsid w:val="0013477B"/>
    <w:rsid w:val="00153902"/>
    <w:rsid w:val="001557C7"/>
    <w:rsid w:val="001641BC"/>
    <w:rsid w:val="001809AF"/>
    <w:rsid w:val="00185B54"/>
    <w:rsid w:val="0019433E"/>
    <w:rsid w:val="001A4371"/>
    <w:rsid w:val="001B0699"/>
    <w:rsid w:val="001B0F4A"/>
    <w:rsid w:val="001C6E27"/>
    <w:rsid w:val="001D30E5"/>
    <w:rsid w:val="001E75EE"/>
    <w:rsid w:val="001F33BB"/>
    <w:rsid w:val="001F3F79"/>
    <w:rsid w:val="002028AD"/>
    <w:rsid w:val="0020324F"/>
    <w:rsid w:val="00214276"/>
    <w:rsid w:val="00224FE3"/>
    <w:rsid w:val="00225B5E"/>
    <w:rsid w:val="002278BF"/>
    <w:rsid w:val="0023100D"/>
    <w:rsid w:val="00242BEA"/>
    <w:rsid w:val="00244898"/>
    <w:rsid w:val="00247FD4"/>
    <w:rsid w:val="00251D0C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5D7B"/>
    <w:rsid w:val="002D7485"/>
    <w:rsid w:val="002F0352"/>
    <w:rsid w:val="002F0EEC"/>
    <w:rsid w:val="002F104C"/>
    <w:rsid w:val="002F184B"/>
    <w:rsid w:val="00315F32"/>
    <w:rsid w:val="00324B84"/>
    <w:rsid w:val="00324E1C"/>
    <w:rsid w:val="003332E4"/>
    <w:rsid w:val="003366A7"/>
    <w:rsid w:val="00342F04"/>
    <w:rsid w:val="00344BDE"/>
    <w:rsid w:val="00355576"/>
    <w:rsid w:val="003705C2"/>
    <w:rsid w:val="0037202E"/>
    <w:rsid w:val="003746EA"/>
    <w:rsid w:val="003B28CA"/>
    <w:rsid w:val="003B6D25"/>
    <w:rsid w:val="003B7E29"/>
    <w:rsid w:val="003C0C84"/>
    <w:rsid w:val="003C4343"/>
    <w:rsid w:val="003D2441"/>
    <w:rsid w:val="003E07D2"/>
    <w:rsid w:val="003E5BFD"/>
    <w:rsid w:val="003E5F0A"/>
    <w:rsid w:val="003E5FF0"/>
    <w:rsid w:val="003E63FB"/>
    <w:rsid w:val="003F051D"/>
    <w:rsid w:val="00410790"/>
    <w:rsid w:val="00426063"/>
    <w:rsid w:val="00453C9D"/>
    <w:rsid w:val="00461689"/>
    <w:rsid w:val="004618B6"/>
    <w:rsid w:val="0046203D"/>
    <w:rsid w:val="0047192B"/>
    <w:rsid w:val="004772B5"/>
    <w:rsid w:val="00477EE1"/>
    <w:rsid w:val="00491DFC"/>
    <w:rsid w:val="00493FF2"/>
    <w:rsid w:val="004A475E"/>
    <w:rsid w:val="004A7633"/>
    <w:rsid w:val="004C0664"/>
    <w:rsid w:val="004C0E30"/>
    <w:rsid w:val="004C2F18"/>
    <w:rsid w:val="004C6481"/>
    <w:rsid w:val="004C7E7F"/>
    <w:rsid w:val="004D1D5C"/>
    <w:rsid w:val="004E116A"/>
    <w:rsid w:val="004F48F0"/>
    <w:rsid w:val="00505FB6"/>
    <w:rsid w:val="00506B19"/>
    <w:rsid w:val="00510FA5"/>
    <w:rsid w:val="00533840"/>
    <w:rsid w:val="00533DC6"/>
    <w:rsid w:val="00534109"/>
    <w:rsid w:val="00535239"/>
    <w:rsid w:val="00553191"/>
    <w:rsid w:val="00562955"/>
    <w:rsid w:val="005636E1"/>
    <w:rsid w:val="00570099"/>
    <w:rsid w:val="0057648D"/>
    <w:rsid w:val="00583507"/>
    <w:rsid w:val="00586CE4"/>
    <w:rsid w:val="00586D10"/>
    <w:rsid w:val="0059032D"/>
    <w:rsid w:val="00595CD9"/>
    <w:rsid w:val="005B0010"/>
    <w:rsid w:val="005B4C20"/>
    <w:rsid w:val="005C73A2"/>
    <w:rsid w:val="005D51C5"/>
    <w:rsid w:val="005F62AB"/>
    <w:rsid w:val="0061124D"/>
    <w:rsid w:val="00612131"/>
    <w:rsid w:val="00623323"/>
    <w:rsid w:val="00636F5C"/>
    <w:rsid w:val="006436F2"/>
    <w:rsid w:val="00643E33"/>
    <w:rsid w:val="00652AEB"/>
    <w:rsid w:val="00661B2B"/>
    <w:rsid w:val="006731C7"/>
    <w:rsid w:val="00676AB9"/>
    <w:rsid w:val="006944B2"/>
    <w:rsid w:val="006A4016"/>
    <w:rsid w:val="006A4409"/>
    <w:rsid w:val="006A6187"/>
    <w:rsid w:val="006B7FCC"/>
    <w:rsid w:val="006D4AF8"/>
    <w:rsid w:val="006F3B3F"/>
    <w:rsid w:val="006F4966"/>
    <w:rsid w:val="00701DB1"/>
    <w:rsid w:val="00706F22"/>
    <w:rsid w:val="00707650"/>
    <w:rsid w:val="0071248D"/>
    <w:rsid w:val="00717B11"/>
    <w:rsid w:val="00720910"/>
    <w:rsid w:val="007210ED"/>
    <w:rsid w:val="00725581"/>
    <w:rsid w:val="007277D7"/>
    <w:rsid w:val="00733626"/>
    <w:rsid w:val="00736DC9"/>
    <w:rsid w:val="007501F9"/>
    <w:rsid w:val="0075448A"/>
    <w:rsid w:val="00761666"/>
    <w:rsid w:val="00763C50"/>
    <w:rsid w:val="007658F8"/>
    <w:rsid w:val="007704F8"/>
    <w:rsid w:val="007A1BDF"/>
    <w:rsid w:val="007B174D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C63A4"/>
    <w:rsid w:val="008D0CBB"/>
    <w:rsid w:val="008E3DB9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45016"/>
    <w:rsid w:val="00966624"/>
    <w:rsid w:val="00977014"/>
    <w:rsid w:val="009852F4"/>
    <w:rsid w:val="009B7041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7837"/>
    <w:rsid w:val="00A524AA"/>
    <w:rsid w:val="00A609E1"/>
    <w:rsid w:val="00A62286"/>
    <w:rsid w:val="00A630E1"/>
    <w:rsid w:val="00A6356B"/>
    <w:rsid w:val="00A64992"/>
    <w:rsid w:val="00A71C34"/>
    <w:rsid w:val="00A77B16"/>
    <w:rsid w:val="00A924BC"/>
    <w:rsid w:val="00AA307A"/>
    <w:rsid w:val="00AB0B19"/>
    <w:rsid w:val="00AB38B4"/>
    <w:rsid w:val="00AD5F51"/>
    <w:rsid w:val="00AD6A2B"/>
    <w:rsid w:val="00AE2D65"/>
    <w:rsid w:val="00AF17CB"/>
    <w:rsid w:val="00AF5765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6429"/>
    <w:rsid w:val="00B568E3"/>
    <w:rsid w:val="00B63479"/>
    <w:rsid w:val="00B65484"/>
    <w:rsid w:val="00B67061"/>
    <w:rsid w:val="00B75D70"/>
    <w:rsid w:val="00B82CF3"/>
    <w:rsid w:val="00B84728"/>
    <w:rsid w:val="00B85EC5"/>
    <w:rsid w:val="00B8632D"/>
    <w:rsid w:val="00B947B9"/>
    <w:rsid w:val="00BA79E1"/>
    <w:rsid w:val="00BA7AD9"/>
    <w:rsid w:val="00BB3AA3"/>
    <w:rsid w:val="00BC1C09"/>
    <w:rsid w:val="00BC57EC"/>
    <w:rsid w:val="00BC748E"/>
    <w:rsid w:val="00BD49CA"/>
    <w:rsid w:val="00BD7728"/>
    <w:rsid w:val="00BE4F0E"/>
    <w:rsid w:val="00C011C0"/>
    <w:rsid w:val="00C110CE"/>
    <w:rsid w:val="00C17EFD"/>
    <w:rsid w:val="00C37A23"/>
    <w:rsid w:val="00C41811"/>
    <w:rsid w:val="00C467C8"/>
    <w:rsid w:val="00C52EC8"/>
    <w:rsid w:val="00C72689"/>
    <w:rsid w:val="00C8033E"/>
    <w:rsid w:val="00C81331"/>
    <w:rsid w:val="00C85417"/>
    <w:rsid w:val="00CB1BAD"/>
    <w:rsid w:val="00CD1A0C"/>
    <w:rsid w:val="00CD1DCD"/>
    <w:rsid w:val="00CD3AFD"/>
    <w:rsid w:val="00CE1E18"/>
    <w:rsid w:val="00CF226F"/>
    <w:rsid w:val="00D17802"/>
    <w:rsid w:val="00D379A4"/>
    <w:rsid w:val="00D44618"/>
    <w:rsid w:val="00D47317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340E4"/>
    <w:rsid w:val="00E34679"/>
    <w:rsid w:val="00E37A9A"/>
    <w:rsid w:val="00E45C26"/>
    <w:rsid w:val="00E474FA"/>
    <w:rsid w:val="00E5798C"/>
    <w:rsid w:val="00E664FF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24CB8"/>
    <w:rsid w:val="00F24EE2"/>
    <w:rsid w:val="00F4299D"/>
    <w:rsid w:val="00F43DFE"/>
    <w:rsid w:val="00F6707D"/>
    <w:rsid w:val="00F76BD7"/>
    <w:rsid w:val="00F86BF2"/>
    <w:rsid w:val="00FA21CF"/>
    <w:rsid w:val="00FC1EE8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C6D5F-A8AB-4309-AF2D-D8A9DD946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1707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141</cp:revision>
  <cp:lastPrinted>2017-03-22T06:21:00Z</cp:lastPrinted>
  <dcterms:created xsi:type="dcterms:W3CDTF">2012-05-17T11:27:00Z</dcterms:created>
  <dcterms:modified xsi:type="dcterms:W3CDTF">2017-08-28T10:43:00Z</dcterms:modified>
</cp:coreProperties>
</file>