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E22481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9" o:title=""/>
            <w10:wrap type="tight"/>
          </v:shape>
          <o:OLEObject Type="Embed" ProgID="Word.Picture.8" ShapeID="_x0000_s1036" DrawAspect="Content" ObjectID="_1565432650" r:id="rId10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Default="0019433E" w:rsidP="00B147C9">
      <w:pPr>
        <w:jc w:val="center"/>
        <w:rPr>
          <w:sz w:val="28"/>
          <w:szCs w:val="28"/>
          <w:lang w:val="uk-UA"/>
        </w:rPr>
      </w:pPr>
      <w:r w:rsidRPr="00873FA4">
        <w:rPr>
          <w:sz w:val="28"/>
          <w:szCs w:val="28"/>
          <w:lang w:val="uk-UA"/>
        </w:rPr>
        <w:t xml:space="preserve">обласної ради </w:t>
      </w:r>
      <w:r w:rsidR="00B147C9" w:rsidRPr="00B147C9">
        <w:rPr>
          <w:sz w:val="28"/>
          <w:szCs w:val="28"/>
        </w:rPr>
        <w:t>з питань аграрної політики,</w:t>
      </w:r>
    </w:p>
    <w:p w:rsidR="00B147C9" w:rsidRPr="00B147C9" w:rsidRDefault="00B147C9" w:rsidP="00B147C9">
      <w:pPr>
        <w:jc w:val="center"/>
        <w:rPr>
          <w:sz w:val="28"/>
          <w:szCs w:val="28"/>
        </w:rPr>
      </w:pPr>
      <w:r w:rsidRPr="00B147C9">
        <w:rPr>
          <w:sz w:val="28"/>
          <w:szCs w:val="28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E70AF5" w:rsidRDefault="00E70AF5" w:rsidP="00E70A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Е К О М Е Н Д А Ц І Ї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119"/>
        <w:gridCol w:w="3969"/>
        <w:gridCol w:w="1417"/>
        <w:gridCol w:w="993"/>
      </w:tblGrid>
      <w:tr w:rsidR="002B4E05" w:rsidTr="00800686"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2B4E05" w:rsidRPr="00B04AF3" w:rsidRDefault="000637BB" w:rsidP="001C6E76">
            <w:pPr>
              <w:tabs>
                <w:tab w:val="left" w:pos="276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1C6E76">
              <w:rPr>
                <w:sz w:val="28"/>
                <w:szCs w:val="28"/>
                <w:lang w:val="uk-UA"/>
              </w:rPr>
              <w:t>9</w:t>
            </w:r>
            <w:r w:rsidR="00E94E3D">
              <w:rPr>
                <w:sz w:val="28"/>
                <w:szCs w:val="28"/>
                <w:lang w:val="uk-UA"/>
              </w:rPr>
              <w:t xml:space="preserve"> </w:t>
            </w:r>
            <w:r w:rsidR="001C6E76">
              <w:rPr>
                <w:sz w:val="28"/>
                <w:szCs w:val="28"/>
                <w:lang w:val="uk-UA"/>
              </w:rPr>
              <w:t>серпня</w:t>
            </w:r>
            <w:r w:rsidR="00C72689">
              <w:rPr>
                <w:sz w:val="28"/>
                <w:szCs w:val="28"/>
                <w:lang w:val="uk-UA"/>
              </w:rPr>
              <w:t xml:space="preserve"> </w:t>
            </w:r>
            <w:r w:rsidR="00B04AF3">
              <w:rPr>
                <w:sz w:val="28"/>
                <w:szCs w:val="28"/>
                <w:lang w:val="uk-UA"/>
              </w:rPr>
              <w:t>201</w:t>
            </w:r>
            <w:r w:rsidR="001D30E5">
              <w:rPr>
                <w:sz w:val="28"/>
                <w:szCs w:val="28"/>
                <w:lang w:val="uk-UA"/>
              </w:rPr>
              <w:t>7</w:t>
            </w:r>
            <w:r w:rsidR="00B04AF3">
              <w:rPr>
                <w:sz w:val="28"/>
                <w:szCs w:val="28"/>
                <w:lang w:val="uk-UA"/>
              </w:rPr>
              <w:t xml:space="preserve"> </w:t>
            </w:r>
            <w:r w:rsidR="00800686">
              <w:rPr>
                <w:sz w:val="28"/>
                <w:szCs w:val="28"/>
                <w:lang w:val="uk-UA"/>
              </w:rPr>
              <w:t>р</w:t>
            </w:r>
            <w:r w:rsidR="00B04AF3">
              <w:rPr>
                <w:sz w:val="28"/>
                <w:szCs w:val="28"/>
                <w:lang w:val="uk-UA"/>
              </w:rPr>
              <w:t>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B04AF3" w:rsidRDefault="00983676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B04AF3" w:rsidRPr="000252BB" w:rsidTr="00DA4265">
        <w:tc>
          <w:tcPr>
            <w:tcW w:w="7338" w:type="dxa"/>
            <w:shd w:val="clear" w:color="auto" w:fill="auto"/>
          </w:tcPr>
          <w:p w:rsidR="00B04AF3" w:rsidRPr="00DA4265" w:rsidRDefault="00B04AF3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  <w:p w:rsidR="000637BB" w:rsidRDefault="000637BB" w:rsidP="00701DB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9056A3">
              <w:rPr>
                <w:sz w:val="28"/>
                <w:szCs w:val="28"/>
                <w:lang w:val="uk-UA"/>
              </w:rPr>
              <w:t>ро співпрацю головного управління Держгеокадастру у Миколаївській області з органами місцевого самоврядування щодо погодження можливості надання дозволу на розроблення документації із землеустрою на земельні ділянки сільськогосподарського призначення державної власності, на підставі якого ці земельні ділянки можуть бути передані у власність або користування</w:t>
            </w:r>
          </w:p>
          <w:p w:rsidR="00251D0C" w:rsidRPr="00F24CB8" w:rsidRDefault="00251D0C" w:rsidP="000637B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F0EEC" w:rsidRDefault="002F0EEC" w:rsidP="002F0EEC">
      <w:pPr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>Заслухавши та обговоривши інформацію</w:t>
      </w:r>
      <w:r w:rsidRPr="00B34A3B">
        <w:rPr>
          <w:sz w:val="28"/>
          <w:szCs w:val="28"/>
          <w:lang w:val="uk-UA"/>
        </w:rPr>
        <w:t xml:space="preserve"> </w:t>
      </w:r>
      <w:r w:rsidRPr="00AF5C1F">
        <w:rPr>
          <w:sz w:val="28"/>
          <w:szCs w:val="28"/>
          <w:lang w:val="uk-UA"/>
        </w:rPr>
        <w:t>головного</w:t>
      </w:r>
      <w:r>
        <w:rPr>
          <w:sz w:val="28"/>
          <w:szCs w:val="28"/>
          <w:lang w:val="uk-UA"/>
        </w:rPr>
        <w:t xml:space="preserve"> </w:t>
      </w:r>
      <w:r w:rsidRPr="00AF5C1F">
        <w:rPr>
          <w:sz w:val="28"/>
          <w:szCs w:val="28"/>
          <w:lang w:val="uk-UA"/>
        </w:rPr>
        <w:t xml:space="preserve">управління Держгеокадастру у Миколаївській області </w:t>
      </w:r>
      <w:r>
        <w:rPr>
          <w:sz w:val="28"/>
          <w:szCs w:val="28"/>
          <w:lang w:val="uk-UA"/>
        </w:rPr>
        <w:t xml:space="preserve">(лист № </w:t>
      </w:r>
      <w:r w:rsidR="000109CC">
        <w:rPr>
          <w:sz w:val="28"/>
          <w:szCs w:val="28"/>
          <w:lang w:val="uk-UA"/>
        </w:rPr>
        <w:t>16-14-0.22-5242/2-17</w:t>
      </w:r>
      <w:r>
        <w:rPr>
          <w:sz w:val="28"/>
          <w:szCs w:val="28"/>
          <w:lang w:val="uk-UA"/>
        </w:rPr>
        <w:t xml:space="preserve"> від </w:t>
      </w:r>
      <w:r w:rsidR="000109CC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</w:t>
      </w:r>
      <w:r w:rsidR="000109CC">
        <w:rPr>
          <w:sz w:val="28"/>
          <w:szCs w:val="28"/>
          <w:lang w:val="uk-UA"/>
        </w:rPr>
        <w:t>11 липня</w:t>
      </w:r>
      <w:r>
        <w:rPr>
          <w:sz w:val="28"/>
          <w:szCs w:val="28"/>
          <w:lang w:val="uk-UA"/>
        </w:rPr>
        <w:t xml:space="preserve"> 2017 року) із зазначеного питання, </w:t>
      </w:r>
      <w:r>
        <w:rPr>
          <w:rFonts w:eastAsia="Calibri"/>
          <w:bCs/>
          <w:color w:val="000000"/>
          <w:sz w:val="28"/>
          <w:szCs w:val="28"/>
          <w:lang w:val="uk-UA"/>
        </w:rPr>
        <w:t>постійна комісія обласної ради</w:t>
      </w:r>
    </w:p>
    <w:p w:rsidR="002F0EEC" w:rsidRDefault="002F0EEC" w:rsidP="002F0EEC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2F0EEC" w:rsidRDefault="002F0EEC" w:rsidP="002F0EEC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 w:rsidRPr="008D41D4">
        <w:rPr>
          <w:rFonts w:eastAsia="Calibri"/>
          <w:bCs/>
          <w:color w:val="000000"/>
          <w:sz w:val="28"/>
          <w:szCs w:val="28"/>
          <w:lang w:val="uk-UA"/>
        </w:rPr>
        <w:t>ВИРІШИЛА:</w:t>
      </w:r>
    </w:p>
    <w:p w:rsidR="002F0EEC" w:rsidRPr="008D41D4" w:rsidRDefault="002F0EEC" w:rsidP="002F0EEC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2F0EEC" w:rsidRPr="00AF5C1F" w:rsidRDefault="002F0EEC" w:rsidP="002F0EEC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 w:rsidRPr="00AF5C1F">
        <w:rPr>
          <w:rFonts w:eastAsia="Calibri"/>
          <w:bCs/>
          <w:color w:val="000000"/>
          <w:sz w:val="28"/>
          <w:szCs w:val="28"/>
          <w:lang w:val="uk-UA"/>
        </w:rPr>
        <w:t>Інформацію</w:t>
      </w:r>
      <w:r w:rsidRPr="00AF5C1F">
        <w:rPr>
          <w:sz w:val="28"/>
          <w:szCs w:val="28"/>
          <w:lang w:val="uk-UA"/>
        </w:rPr>
        <w:t xml:space="preserve"> головного управління Держгеокадастру у Миколаївській області із зазначеного питання взяти до відома.</w:t>
      </w:r>
    </w:p>
    <w:p w:rsidR="002F0EEC" w:rsidRDefault="002F0EEC" w:rsidP="002F0EEC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Зазначити, що н</w:t>
      </w:r>
      <w:r w:rsidRPr="00AF5C1F">
        <w:rPr>
          <w:sz w:val="28"/>
          <w:szCs w:val="28"/>
          <w:lang w:val="uk-UA"/>
        </w:rPr>
        <w:t>а адресу обласної ради надходять численні звернення від органів місцевого самоврядування про неврахування головним управління Держгеокадастру у Миколаївській області їх позиції щодо можливості надання дозволу на розроблення документації із землеустрою, на підставі якої земельні ділянки сільськогосподарського призначення державної власності можуть бути передані у власність або користування.</w:t>
      </w:r>
    </w:p>
    <w:p w:rsidR="002F0EEC" w:rsidRDefault="002F0EEC" w:rsidP="002F0EEC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Звернути увагу, що на виконання доручення Віце-прем</w:t>
      </w:r>
      <w:r w:rsidRPr="00AF5C1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єр-міністра – Міністра регіонального розвитку, будівництва та житлово-комунального господарства України Гройсмана В.Б. від 18.10.2014 року № 37732/0/1-14 Держземагенством України з 15 жовтня 2014 року запроваджено обов</w:t>
      </w:r>
      <w:r w:rsidRPr="00AF5C1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язкове врахування позиції органів місцевого самоврядування щодо розпорядження землями сільськогосподарського призначення державної власності.</w:t>
      </w:r>
    </w:p>
    <w:p w:rsidR="002F0EEC" w:rsidRDefault="002F0EEC" w:rsidP="002F0EE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Зазначити, що головне управління Держгеокадастру у Миколаївській області у разі звернення фізичних або юридичних осіб з клопотанням про надання земельної ділянки сільськогосподарського призначення державної </w:t>
      </w:r>
      <w:r>
        <w:rPr>
          <w:sz w:val="28"/>
          <w:szCs w:val="28"/>
          <w:lang w:val="uk-UA"/>
        </w:rPr>
        <w:lastRenderedPageBreak/>
        <w:t>власності зобов</w:t>
      </w:r>
      <w:r w:rsidRPr="008B0DE9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язане надсилати відповідним органам місцевого самоврядування (</w:t>
      </w:r>
      <w:r w:rsidR="00510BB1">
        <w:rPr>
          <w:sz w:val="28"/>
          <w:szCs w:val="28"/>
          <w:lang w:val="uk-UA"/>
        </w:rPr>
        <w:t>місцевим</w:t>
      </w:r>
      <w:r>
        <w:rPr>
          <w:sz w:val="28"/>
          <w:szCs w:val="28"/>
          <w:lang w:val="uk-UA"/>
        </w:rPr>
        <w:t xml:space="preserve"> радам) за місцем розташування земельної ділянки запити про висловлення позиції щодо можливості надання дозволу на розроблення документації із землеустрою, на підставі якої зазначені земельні ділянки можуть бути передані у власність або користування. </w:t>
      </w:r>
    </w:p>
    <w:p w:rsidR="002F0EEC" w:rsidRDefault="002F0EEC" w:rsidP="002F0EEC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Рекомендувати головному</w:t>
      </w:r>
      <w:r w:rsidRPr="00AF5C1F">
        <w:rPr>
          <w:sz w:val="28"/>
          <w:szCs w:val="28"/>
          <w:lang w:val="uk-UA"/>
        </w:rPr>
        <w:t xml:space="preserve"> управлінн</w:t>
      </w:r>
      <w:r>
        <w:rPr>
          <w:sz w:val="28"/>
          <w:szCs w:val="28"/>
          <w:lang w:val="uk-UA"/>
        </w:rPr>
        <w:t>ю</w:t>
      </w:r>
      <w:r w:rsidRPr="00AF5C1F">
        <w:rPr>
          <w:sz w:val="28"/>
          <w:szCs w:val="28"/>
          <w:lang w:val="uk-UA"/>
        </w:rPr>
        <w:t xml:space="preserve"> Держгеокадастру у Миколаївській області</w:t>
      </w:r>
      <w:r>
        <w:rPr>
          <w:sz w:val="28"/>
          <w:szCs w:val="28"/>
          <w:lang w:val="uk-UA"/>
        </w:rPr>
        <w:t>:</w:t>
      </w:r>
    </w:p>
    <w:p w:rsidR="002F0EEC" w:rsidRDefault="002F0EEC" w:rsidP="002F0EE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обов</w:t>
      </w:r>
      <w:r w:rsidRPr="00BB008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язково враховувати позицію органів місцевого самоврядування щодо можливості надання дозволу на розроблення документації із землеустрою, на підставі якої земельні ділянки </w:t>
      </w:r>
      <w:r w:rsidRPr="00AF5C1F">
        <w:rPr>
          <w:sz w:val="28"/>
          <w:szCs w:val="28"/>
          <w:lang w:val="uk-UA"/>
        </w:rPr>
        <w:t xml:space="preserve">сільськогосподарського призначення державної власності </w:t>
      </w:r>
      <w:r>
        <w:rPr>
          <w:sz w:val="28"/>
          <w:szCs w:val="28"/>
          <w:lang w:val="uk-UA"/>
        </w:rPr>
        <w:t>можуть бути передані у власність або користування;</w:t>
      </w:r>
    </w:p>
    <w:p w:rsidR="002F0EEC" w:rsidRDefault="002F0EEC" w:rsidP="002F0EE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спільно з районними відділами та управл</w:t>
      </w:r>
      <w:r w:rsidR="00BE1D37">
        <w:rPr>
          <w:sz w:val="28"/>
          <w:szCs w:val="28"/>
          <w:lang w:val="uk-UA"/>
        </w:rPr>
        <w:t>іннями Держгеокадастру до      10</w:t>
      </w:r>
      <w:r>
        <w:rPr>
          <w:sz w:val="28"/>
          <w:szCs w:val="28"/>
          <w:lang w:val="uk-UA"/>
        </w:rPr>
        <w:t xml:space="preserve"> </w:t>
      </w:r>
      <w:r w:rsidR="00BE1D37">
        <w:rPr>
          <w:sz w:val="28"/>
          <w:szCs w:val="28"/>
          <w:lang w:val="uk-UA"/>
        </w:rPr>
        <w:t>вересня</w:t>
      </w:r>
      <w:r>
        <w:rPr>
          <w:sz w:val="28"/>
          <w:szCs w:val="28"/>
          <w:lang w:val="uk-UA"/>
        </w:rPr>
        <w:t xml:space="preserve"> 2017 року направити органам місцевого самоврядування області роз</w:t>
      </w:r>
      <w:r w:rsidRPr="00DD1D1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яснення щодо норм законодавства, відповідно до яких вони можуть висловити мотивовані заперечення щодо можливості надання дозволу на розроблення документації із землеустрою на зазначені земельні ділянки, а також опублікувати ці роз</w:t>
      </w:r>
      <w:r w:rsidRPr="00DD1D1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яснення в районних засобах масової інформації. </w:t>
      </w:r>
    </w:p>
    <w:p w:rsidR="002F0EEC" w:rsidRDefault="002F0EEC" w:rsidP="002F0EE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проведену роботу </w:t>
      </w:r>
      <w:r w:rsidR="00BE1D37">
        <w:rPr>
          <w:sz w:val="28"/>
          <w:szCs w:val="28"/>
          <w:lang w:val="uk-UA"/>
        </w:rPr>
        <w:t>проінформувати обласну раду до 2</w:t>
      </w:r>
      <w:r>
        <w:rPr>
          <w:sz w:val="28"/>
          <w:szCs w:val="28"/>
          <w:lang w:val="uk-UA"/>
        </w:rPr>
        <w:t xml:space="preserve">5 </w:t>
      </w:r>
      <w:r w:rsidR="00BE1D37">
        <w:rPr>
          <w:sz w:val="28"/>
          <w:szCs w:val="28"/>
          <w:lang w:val="uk-UA"/>
        </w:rPr>
        <w:t>вересня</w:t>
      </w:r>
      <w:r>
        <w:rPr>
          <w:sz w:val="28"/>
          <w:szCs w:val="28"/>
          <w:lang w:val="uk-UA"/>
        </w:rPr>
        <w:t xml:space="preserve">       2017 року. </w:t>
      </w:r>
    </w:p>
    <w:p w:rsidR="002F0EEC" w:rsidRDefault="002F0EEC" w:rsidP="002F0EE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913DE5">
        <w:rPr>
          <w:sz w:val="28"/>
          <w:szCs w:val="28"/>
          <w:lang w:val="uk-UA"/>
        </w:rPr>
        <w:t>Контроль за виконанням цих рекомендацій покласти на секретаря постійної комісії обласної ради.</w:t>
      </w:r>
    </w:p>
    <w:p w:rsidR="002F0EEC" w:rsidRDefault="002F0EEC" w:rsidP="002F0EEC">
      <w:pPr>
        <w:ind w:firstLine="709"/>
        <w:jc w:val="both"/>
        <w:rPr>
          <w:sz w:val="28"/>
          <w:szCs w:val="28"/>
          <w:lang w:val="uk-UA"/>
        </w:rPr>
      </w:pPr>
    </w:p>
    <w:p w:rsidR="002F0EEC" w:rsidRDefault="002F0EEC" w:rsidP="002F0EEC">
      <w:pPr>
        <w:ind w:firstLine="709"/>
        <w:jc w:val="both"/>
        <w:rPr>
          <w:sz w:val="28"/>
          <w:szCs w:val="28"/>
          <w:lang w:val="uk-UA"/>
        </w:rPr>
      </w:pPr>
    </w:p>
    <w:p w:rsidR="002F0EEC" w:rsidRDefault="002F0EEC" w:rsidP="002F0EEC">
      <w:pPr>
        <w:ind w:firstLine="709"/>
        <w:jc w:val="both"/>
        <w:rPr>
          <w:sz w:val="28"/>
          <w:szCs w:val="28"/>
          <w:lang w:val="uk-UA"/>
        </w:rPr>
      </w:pPr>
    </w:p>
    <w:p w:rsidR="00506B19" w:rsidRDefault="00506B19" w:rsidP="000046BA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0252BB" w:rsidRPr="00514BCA" w:rsidRDefault="000252BB" w:rsidP="000252BB">
      <w:pPr>
        <w:jc w:val="both"/>
        <w:rPr>
          <w:sz w:val="28"/>
          <w:szCs w:val="28"/>
          <w:lang w:val="uk-UA"/>
        </w:rPr>
      </w:pPr>
      <w:r w:rsidRPr="00514BCA">
        <w:rPr>
          <w:sz w:val="28"/>
          <w:szCs w:val="28"/>
          <w:lang w:val="uk-UA"/>
        </w:rPr>
        <w:t>Заступник голови</w:t>
      </w:r>
    </w:p>
    <w:p w:rsidR="000252BB" w:rsidRDefault="000252BB" w:rsidP="000252BB">
      <w:pPr>
        <w:jc w:val="both"/>
        <w:rPr>
          <w:lang w:val="uk-UA"/>
        </w:rPr>
      </w:pPr>
      <w:r w:rsidRPr="00514BCA">
        <w:rPr>
          <w:sz w:val="28"/>
          <w:szCs w:val="28"/>
          <w:lang w:val="uk-UA"/>
        </w:rPr>
        <w:t>постійної комісії обласної ради</w:t>
      </w:r>
      <w:r w:rsidRPr="00514BCA">
        <w:rPr>
          <w:sz w:val="28"/>
          <w:szCs w:val="28"/>
          <w:lang w:val="uk-UA"/>
        </w:rPr>
        <w:tab/>
      </w:r>
      <w:r w:rsidRPr="00514BC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</w:t>
      </w:r>
      <w:r w:rsidRPr="00514BCA">
        <w:rPr>
          <w:sz w:val="28"/>
          <w:szCs w:val="28"/>
          <w:lang w:val="uk-UA"/>
        </w:rPr>
        <w:t xml:space="preserve">                  О.М.Ясинський</w:t>
      </w:r>
    </w:p>
    <w:p w:rsidR="003705C2" w:rsidRDefault="003705C2" w:rsidP="000252BB">
      <w:pPr>
        <w:jc w:val="both"/>
        <w:rPr>
          <w:lang w:val="uk-UA"/>
        </w:rPr>
      </w:pPr>
      <w:bookmarkStart w:id="0" w:name="_GoBack"/>
      <w:bookmarkEnd w:id="0"/>
    </w:p>
    <w:sectPr w:rsidR="003705C2" w:rsidSect="007F4F3E">
      <w:headerReference w:type="default" r:id="rId11"/>
      <w:pgSz w:w="11906" w:h="16838"/>
      <w:pgMar w:top="1134" w:right="567" w:bottom="709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481" w:rsidRDefault="00E22481" w:rsidP="008174BA">
      <w:r>
        <w:separator/>
      </w:r>
    </w:p>
  </w:endnote>
  <w:endnote w:type="continuationSeparator" w:id="0">
    <w:p w:rsidR="00E22481" w:rsidRDefault="00E22481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481" w:rsidRDefault="00E22481" w:rsidP="008174BA">
      <w:r>
        <w:separator/>
      </w:r>
    </w:p>
  </w:footnote>
  <w:footnote w:type="continuationSeparator" w:id="0">
    <w:p w:rsidR="00E22481" w:rsidRDefault="00E22481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C9D" w:rsidRDefault="00453C9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252B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02C6A"/>
    <w:multiLevelType w:val="hybridMultilevel"/>
    <w:tmpl w:val="241A5BD0"/>
    <w:lvl w:ilvl="0" w:tplc="9662B64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46BA"/>
    <w:rsid w:val="000106F4"/>
    <w:rsid w:val="000109CC"/>
    <w:rsid w:val="000118D1"/>
    <w:rsid w:val="00012305"/>
    <w:rsid w:val="000252BB"/>
    <w:rsid w:val="00027B40"/>
    <w:rsid w:val="000450CA"/>
    <w:rsid w:val="00055E22"/>
    <w:rsid w:val="0006110D"/>
    <w:rsid w:val="000637BB"/>
    <w:rsid w:val="0007300D"/>
    <w:rsid w:val="000806A1"/>
    <w:rsid w:val="000A4755"/>
    <w:rsid w:val="000A7359"/>
    <w:rsid w:val="000B2259"/>
    <w:rsid w:val="000D17A9"/>
    <w:rsid w:val="000D194A"/>
    <w:rsid w:val="000E2CA3"/>
    <w:rsid w:val="000E4CC9"/>
    <w:rsid w:val="000E7258"/>
    <w:rsid w:val="000F7C98"/>
    <w:rsid w:val="001208A9"/>
    <w:rsid w:val="00123C79"/>
    <w:rsid w:val="00130226"/>
    <w:rsid w:val="0013477B"/>
    <w:rsid w:val="00153902"/>
    <w:rsid w:val="001557C7"/>
    <w:rsid w:val="001641BC"/>
    <w:rsid w:val="001809AF"/>
    <w:rsid w:val="00185B54"/>
    <w:rsid w:val="0019433E"/>
    <w:rsid w:val="001A4371"/>
    <w:rsid w:val="001B0699"/>
    <w:rsid w:val="001B0F4A"/>
    <w:rsid w:val="001C6E27"/>
    <w:rsid w:val="001C6E76"/>
    <w:rsid w:val="001D30E5"/>
    <w:rsid w:val="001E75EE"/>
    <w:rsid w:val="001F33BB"/>
    <w:rsid w:val="001F3F79"/>
    <w:rsid w:val="002028AD"/>
    <w:rsid w:val="0020324F"/>
    <w:rsid w:val="00214276"/>
    <w:rsid w:val="00225B5E"/>
    <w:rsid w:val="002278BF"/>
    <w:rsid w:val="0023100D"/>
    <w:rsid w:val="00242BEA"/>
    <w:rsid w:val="00247FD4"/>
    <w:rsid w:val="00251D0C"/>
    <w:rsid w:val="0027345C"/>
    <w:rsid w:val="0029429D"/>
    <w:rsid w:val="002A190B"/>
    <w:rsid w:val="002A197E"/>
    <w:rsid w:val="002A249B"/>
    <w:rsid w:val="002B4E05"/>
    <w:rsid w:val="002D06FF"/>
    <w:rsid w:val="002D151B"/>
    <w:rsid w:val="002D1601"/>
    <w:rsid w:val="002D22AD"/>
    <w:rsid w:val="002D7485"/>
    <w:rsid w:val="002F0352"/>
    <w:rsid w:val="002F0EEC"/>
    <w:rsid w:val="002F104C"/>
    <w:rsid w:val="002F184B"/>
    <w:rsid w:val="00315F32"/>
    <w:rsid w:val="00324B84"/>
    <w:rsid w:val="00324E1C"/>
    <w:rsid w:val="003332E4"/>
    <w:rsid w:val="003366A7"/>
    <w:rsid w:val="00342F04"/>
    <w:rsid w:val="00344BDE"/>
    <w:rsid w:val="00355576"/>
    <w:rsid w:val="003705C2"/>
    <w:rsid w:val="0037202E"/>
    <w:rsid w:val="003746EA"/>
    <w:rsid w:val="003B28CA"/>
    <w:rsid w:val="003B6D25"/>
    <w:rsid w:val="003B7E29"/>
    <w:rsid w:val="003C0C84"/>
    <w:rsid w:val="003D2441"/>
    <w:rsid w:val="003E07D2"/>
    <w:rsid w:val="003E5BFD"/>
    <w:rsid w:val="003E5F0A"/>
    <w:rsid w:val="003E5FF0"/>
    <w:rsid w:val="003E63FB"/>
    <w:rsid w:val="003F051D"/>
    <w:rsid w:val="00410790"/>
    <w:rsid w:val="00453C9D"/>
    <w:rsid w:val="00461689"/>
    <w:rsid w:val="004618B6"/>
    <w:rsid w:val="0046203D"/>
    <w:rsid w:val="0047192B"/>
    <w:rsid w:val="004772B5"/>
    <w:rsid w:val="00477EE1"/>
    <w:rsid w:val="00491DFC"/>
    <w:rsid w:val="00493FF2"/>
    <w:rsid w:val="004A475E"/>
    <w:rsid w:val="004C0664"/>
    <w:rsid w:val="004C0E30"/>
    <w:rsid w:val="004C2F18"/>
    <w:rsid w:val="004C6481"/>
    <w:rsid w:val="004D1D5C"/>
    <w:rsid w:val="004D2B67"/>
    <w:rsid w:val="004E116A"/>
    <w:rsid w:val="004F48F0"/>
    <w:rsid w:val="00506B19"/>
    <w:rsid w:val="00510BB1"/>
    <w:rsid w:val="00510FA5"/>
    <w:rsid w:val="00533DC6"/>
    <w:rsid w:val="00535239"/>
    <w:rsid w:val="00553191"/>
    <w:rsid w:val="005636E1"/>
    <w:rsid w:val="00570099"/>
    <w:rsid w:val="0057648D"/>
    <w:rsid w:val="00583507"/>
    <w:rsid w:val="00586CE4"/>
    <w:rsid w:val="00586D10"/>
    <w:rsid w:val="00595CD9"/>
    <w:rsid w:val="005B0010"/>
    <w:rsid w:val="005B1252"/>
    <w:rsid w:val="005B4C20"/>
    <w:rsid w:val="005C73A2"/>
    <w:rsid w:val="005D51C5"/>
    <w:rsid w:val="005F62AB"/>
    <w:rsid w:val="0061124D"/>
    <w:rsid w:val="00623323"/>
    <w:rsid w:val="00636F5C"/>
    <w:rsid w:val="00643E33"/>
    <w:rsid w:val="00652AEB"/>
    <w:rsid w:val="00661B2B"/>
    <w:rsid w:val="006731C7"/>
    <w:rsid w:val="00676AB9"/>
    <w:rsid w:val="006944B2"/>
    <w:rsid w:val="006A6187"/>
    <w:rsid w:val="006B7FCC"/>
    <w:rsid w:val="006D4AF8"/>
    <w:rsid w:val="006F3B3F"/>
    <w:rsid w:val="006F4966"/>
    <w:rsid w:val="00701DB1"/>
    <w:rsid w:val="00706F22"/>
    <w:rsid w:val="00707650"/>
    <w:rsid w:val="0071248D"/>
    <w:rsid w:val="00717B11"/>
    <w:rsid w:val="00720910"/>
    <w:rsid w:val="007210ED"/>
    <w:rsid w:val="00725581"/>
    <w:rsid w:val="007277D7"/>
    <w:rsid w:val="00733626"/>
    <w:rsid w:val="007501F9"/>
    <w:rsid w:val="0075448A"/>
    <w:rsid w:val="00761666"/>
    <w:rsid w:val="00763C50"/>
    <w:rsid w:val="007658F8"/>
    <w:rsid w:val="007704F8"/>
    <w:rsid w:val="007A1BDF"/>
    <w:rsid w:val="007B174D"/>
    <w:rsid w:val="007E077F"/>
    <w:rsid w:val="007E65AF"/>
    <w:rsid w:val="007E74B4"/>
    <w:rsid w:val="007F3364"/>
    <w:rsid w:val="007F4F3E"/>
    <w:rsid w:val="007F7B49"/>
    <w:rsid w:val="00800686"/>
    <w:rsid w:val="00800A73"/>
    <w:rsid w:val="008037D2"/>
    <w:rsid w:val="008174BA"/>
    <w:rsid w:val="00843427"/>
    <w:rsid w:val="0085622A"/>
    <w:rsid w:val="00860050"/>
    <w:rsid w:val="00860EE1"/>
    <w:rsid w:val="00861809"/>
    <w:rsid w:val="00863519"/>
    <w:rsid w:val="00866D89"/>
    <w:rsid w:val="00867200"/>
    <w:rsid w:val="00873FA4"/>
    <w:rsid w:val="00893B58"/>
    <w:rsid w:val="008A06AA"/>
    <w:rsid w:val="008A4BF0"/>
    <w:rsid w:val="008A6B38"/>
    <w:rsid w:val="008C63A4"/>
    <w:rsid w:val="008E3DB9"/>
    <w:rsid w:val="008F1CAF"/>
    <w:rsid w:val="008F3B8B"/>
    <w:rsid w:val="008F4796"/>
    <w:rsid w:val="008F77A3"/>
    <w:rsid w:val="0090607C"/>
    <w:rsid w:val="009234EA"/>
    <w:rsid w:val="009311DE"/>
    <w:rsid w:val="00934828"/>
    <w:rsid w:val="009415A6"/>
    <w:rsid w:val="00941A89"/>
    <w:rsid w:val="00943A85"/>
    <w:rsid w:val="00977014"/>
    <w:rsid w:val="00983676"/>
    <w:rsid w:val="009852F4"/>
    <w:rsid w:val="009D56DB"/>
    <w:rsid w:val="009D7E02"/>
    <w:rsid w:val="009E0A02"/>
    <w:rsid w:val="009E1508"/>
    <w:rsid w:val="009F15D4"/>
    <w:rsid w:val="00A02B0E"/>
    <w:rsid w:val="00A11750"/>
    <w:rsid w:val="00A14790"/>
    <w:rsid w:val="00A15FC2"/>
    <w:rsid w:val="00A16DD5"/>
    <w:rsid w:val="00A27837"/>
    <w:rsid w:val="00A524AA"/>
    <w:rsid w:val="00A609E1"/>
    <w:rsid w:val="00A62286"/>
    <w:rsid w:val="00A630E1"/>
    <w:rsid w:val="00A71C34"/>
    <w:rsid w:val="00A77B16"/>
    <w:rsid w:val="00A924BC"/>
    <w:rsid w:val="00AA307A"/>
    <w:rsid w:val="00AB0B19"/>
    <w:rsid w:val="00AB38B4"/>
    <w:rsid w:val="00AD5F51"/>
    <w:rsid w:val="00AE2D65"/>
    <w:rsid w:val="00AF5765"/>
    <w:rsid w:val="00B04AF3"/>
    <w:rsid w:val="00B05587"/>
    <w:rsid w:val="00B1263B"/>
    <w:rsid w:val="00B147C9"/>
    <w:rsid w:val="00B30875"/>
    <w:rsid w:val="00B324ED"/>
    <w:rsid w:val="00B35F0E"/>
    <w:rsid w:val="00B3662A"/>
    <w:rsid w:val="00B53662"/>
    <w:rsid w:val="00B56429"/>
    <w:rsid w:val="00B568E3"/>
    <w:rsid w:val="00B63479"/>
    <w:rsid w:val="00B65484"/>
    <w:rsid w:val="00B67061"/>
    <w:rsid w:val="00B75D70"/>
    <w:rsid w:val="00B82CF3"/>
    <w:rsid w:val="00B85EC5"/>
    <w:rsid w:val="00B8632D"/>
    <w:rsid w:val="00B947B9"/>
    <w:rsid w:val="00BA79E1"/>
    <w:rsid w:val="00BA7AD9"/>
    <w:rsid w:val="00BB3AA3"/>
    <w:rsid w:val="00BC1C09"/>
    <w:rsid w:val="00BC57EC"/>
    <w:rsid w:val="00BD49CA"/>
    <w:rsid w:val="00BD7728"/>
    <w:rsid w:val="00BE1D37"/>
    <w:rsid w:val="00BE4F0E"/>
    <w:rsid w:val="00C011C0"/>
    <w:rsid w:val="00C110CE"/>
    <w:rsid w:val="00C17EFD"/>
    <w:rsid w:val="00C37A23"/>
    <w:rsid w:val="00C41811"/>
    <w:rsid w:val="00C467C8"/>
    <w:rsid w:val="00C52EC8"/>
    <w:rsid w:val="00C72689"/>
    <w:rsid w:val="00C8033E"/>
    <w:rsid w:val="00C81331"/>
    <w:rsid w:val="00CB1BAD"/>
    <w:rsid w:val="00CD1A0C"/>
    <w:rsid w:val="00CD1DCD"/>
    <w:rsid w:val="00CD3AFD"/>
    <w:rsid w:val="00CE1E18"/>
    <w:rsid w:val="00D17802"/>
    <w:rsid w:val="00D379A4"/>
    <w:rsid w:val="00D44618"/>
    <w:rsid w:val="00D47317"/>
    <w:rsid w:val="00D56FDB"/>
    <w:rsid w:val="00D60FFB"/>
    <w:rsid w:val="00D61A61"/>
    <w:rsid w:val="00D67DCA"/>
    <w:rsid w:val="00D7476F"/>
    <w:rsid w:val="00D77C9C"/>
    <w:rsid w:val="00D80031"/>
    <w:rsid w:val="00D8096D"/>
    <w:rsid w:val="00D925E4"/>
    <w:rsid w:val="00D958B7"/>
    <w:rsid w:val="00DA4265"/>
    <w:rsid w:val="00DA6CCA"/>
    <w:rsid w:val="00DB3FAC"/>
    <w:rsid w:val="00DC1978"/>
    <w:rsid w:val="00DC3730"/>
    <w:rsid w:val="00DC5D22"/>
    <w:rsid w:val="00DC65B2"/>
    <w:rsid w:val="00DD522E"/>
    <w:rsid w:val="00DE0655"/>
    <w:rsid w:val="00DE1136"/>
    <w:rsid w:val="00DF09B8"/>
    <w:rsid w:val="00E00915"/>
    <w:rsid w:val="00E00CDF"/>
    <w:rsid w:val="00E01265"/>
    <w:rsid w:val="00E10A6D"/>
    <w:rsid w:val="00E118D0"/>
    <w:rsid w:val="00E16CE3"/>
    <w:rsid w:val="00E22481"/>
    <w:rsid w:val="00E340E4"/>
    <w:rsid w:val="00E34679"/>
    <w:rsid w:val="00E37A9A"/>
    <w:rsid w:val="00E45C26"/>
    <w:rsid w:val="00E474FA"/>
    <w:rsid w:val="00E5798C"/>
    <w:rsid w:val="00E664FF"/>
    <w:rsid w:val="00E70AF5"/>
    <w:rsid w:val="00E86079"/>
    <w:rsid w:val="00E94E3D"/>
    <w:rsid w:val="00E94FB8"/>
    <w:rsid w:val="00EA4BE1"/>
    <w:rsid w:val="00EB6CC6"/>
    <w:rsid w:val="00EB784C"/>
    <w:rsid w:val="00EC282E"/>
    <w:rsid w:val="00EC4296"/>
    <w:rsid w:val="00EC50B8"/>
    <w:rsid w:val="00EC598A"/>
    <w:rsid w:val="00ED0B5A"/>
    <w:rsid w:val="00ED0F7E"/>
    <w:rsid w:val="00ED51F4"/>
    <w:rsid w:val="00EE671C"/>
    <w:rsid w:val="00EF3786"/>
    <w:rsid w:val="00EF5167"/>
    <w:rsid w:val="00F015C6"/>
    <w:rsid w:val="00F24CB8"/>
    <w:rsid w:val="00F24EE2"/>
    <w:rsid w:val="00F76BD7"/>
    <w:rsid w:val="00F86BF2"/>
    <w:rsid w:val="00FA21CF"/>
    <w:rsid w:val="00FC1EE8"/>
    <w:rsid w:val="00FD3615"/>
    <w:rsid w:val="00FD6216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04AF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04AF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04AF3"/>
  </w:style>
  <w:style w:type="paragraph" w:customStyle="1" w:styleId="Style2">
    <w:name w:val="Style2"/>
    <w:basedOn w:val="a"/>
    <w:uiPriority w:val="99"/>
    <w:rsid w:val="00453C9D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paragraph" w:styleId="ac">
    <w:name w:val="List Paragraph"/>
    <w:basedOn w:val="a"/>
    <w:uiPriority w:val="34"/>
    <w:qFormat/>
    <w:rsid w:val="00DA6C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7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2AD01-8671-4905-B02B-204CA9490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1595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129</cp:revision>
  <cp:lastPrinted>2017-03-22T06:21:00Z</cp:lastPrinted>
  <dcterms:created xsi:type="dcterms:W3CDTF">2012-05-17T11:27:00Z</dcterms:created>
  <dcterms:modified xsi:type="dcterms:W3CDTF">2017-08-28T10:37:00Z</dcterms:modified>
</cp:coreProperties>
</file>