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D3" w:rsidRPr="001A5512" w:rsidRDefault="000F1486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769075" r:id="rId7"/>
        </w:pict>
      </w: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C43D3" w:rsidRPr="001A5512" w:rsidRDefault="009C43D3" w:rsidP="009C43D3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C43D3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C43D3" w:rsidRPr="001A5512" w:rsidRDefault="009C43D3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C43D3" w:rsidRPr="001A5512" w:rsidRDefault="009C43D3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C43D3" w:rsidRPr="001A5512" w:rsidRDefault="009C43D3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C43D3" w:rsidRPr="001A5512" w:rsidRDefault="001B522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13</w:t>
            </w:r>
          </w:p>
        </w:tc>
      </w:tr>
    </w:tbl>
    <w:p w:rsidR="009C43D3" w:rsidRDefault="009C43D3" w:rsidP="009C43D3">
      <w:pPr>
        <w:rPr>
          <w:rFonts w:eastAsia="Times New Roman"/>
          <w:color w:val="auto"/>
          <w:lang w:val="uk-UA" w:eastAsia="ru-RU"/>
        </w:rPr>
      </w:pPr>
    </w:p>
    <w:p w:rsidR="009C43D3" w:rsidRPr="00DB4745" w:rsidRDefault="009C43D3" w:rsidP="009C43D3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надання у користування мисливських угідь </w:t>
      </w:r>
      <w:proofErr w:type="spellStart"/>
      <w:r w:rsidRPr="00DB4745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DB4745">
        <w:rPr>
          <w:rFonts w:eastAsia="Times New Roman"/>
          <w:color w:val="auto"/>
          <w:lang w:val="uk-UA" w:eastAsia="ru-RU"/>
        </w:rPr>
        <w:t xml:space="preserve"> госпрозрахунковій організації «ГМР» (площа 6787,77 га)</w:t>
      </w:r>
    </w:p>
    <w:p w:rsidR="009C43D3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Default="009C43D3" w:rsidP="00646EF8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  <w:r w:rsidR="00646EF8">
        <w:rPr>
          <w:rFonts w:eastAsia="Times New Roman"/>
          <w:color w:val="auto"/>
          <w:lang w:val="uk-UA" w:eastAsia="ru-RU"/>
        </w:rPr>
        <w:t xml:space="preserve">констатує таке. </w:t>
      </w:r>
    </w:p>
    <w:p w:rsidR="00646EF8" w:rsidRPr="00646EF8" w:rsidRDefault="00646EF8" w:rsidP="00646EF8">
      <w:pPr>
        <w:widowControl w:val="0"/>
        <w:ind w:firstLine="708"/>
        <w:contextualSpacing/>
        <w:jc w:val="both"/>
        <w:rPr>
          <w:rFonts w:eastAsia="Times New Roman"/>
          <w:color w:val="auto"/>
          <w:lang w:val="uk-UA" w:eastAsia="ru-RU"/>
        </w:rPr>
      </w:pPr>
      <w:r w:rsidRPr="00646EF8">
        <w:rPr>
          <w:rFonts w:eastAsia="Times New Roman"/>
          <w:color w:val="auto"/>
          <w:lang w:val="uk-UA" w:eastAsia="ru-RU"/>
        </w:rPr>
        <w:t xml:space="preserve">В </w:t>
      </w:r>
      <w:r>
        <w:rPr>
          <w:rFonts w:eastAsia="Times New Roman"/>
          <w:color w:val="auto"/>
          <w:lang w:val="uk-UA" w:eastAsia="ru-RU"/>
        </w:rPr>
        <w:t>поданих до обласної ради для розгляду документах, ті самі землі</w:t>
      </w:r>
      <w:r w:rsidRPr="00646EF8">
        <w:rPr>
          <w:rFonts w:eastAsia="Times New Roman"/>
          <w:color w:val="auto"/>
          <w:lang w:val="uk-UA" w:eastAsia="ru-RU"/>
        </w:rPr>
        <w:t xml:space="preserve"> подаються обома організаціями</w:t>
      </w:r>
      <w:r>
        <w:rPr>
          <w:rFonts w:eastAsia="Times New Roman"/>
          <w:color w:val="auto"/>
          <w:lang w:val="uk-UA" w:eastAsia="ru-RU"/>
        </w:rPr>
        <w:t xml:space="preserve"> (</w:t>
      </w:r>
      <w:proofErr w:type="spellStart"/>
      <w:r>
        <w:rPr>
          <w:rFonts w:eastAsia="Times New Roman"/>
          <w:color w:val="auto"/>
          <w:lang w:val="uk-UA" w:eastAsia="ru-RU"/>
        </w:rPr>
        <w:t>Новоодеською</w:t>
      </w:r>
      <w:proofErr w:type="spellEnd"/>
      <w:r>
        <w:rPr>
          <w:rFonts w:eastAsia="Times New Roman"/>
          <w:color w:val="auto"/>
          <w:lang w:val="uk-UA" w:eastAsia="ru-RU"/>
        </w:rPr>
        <w:t xml:space="preserve"> госпрозрахунковою </w:t>
      </w:r>
      <w:r w:rsidRPr="00DB4745">
        <w:rPr>
          <w:rFonts w:eastAsia="Times New Roman"/>
          <w:color w:val="auto"/>
          <w:lang w:val="uk-UA" w:eastAsia="ru-RU"/>
        </w:rPr>
        <w:t>організаці</w:t>
      </w:r>
      <w:r>
        <w:rPr>
          <w:rFonts w:eastAsia="Times New Roman"/>
          <w:color w:val="auto"/>
          <w:lang w:val="uk-UA" w:eastAsia="ru-RU"/>
        </w:rPr>
        <w:t>єю</w:t>
      </w:r>
      <w:r w:rsidRPr="00DB4745">
        <w:rPr>
          <w:rFonts w:eastAsia="Times New Roman"/>
          <w:color w:val="auto"/>
          <w:lang w:val="uk-UA" w:eastAsia="ru-RU"/>
        </w:rPr>
        <w:t xml:space="preserve"> «ГМР»</w:t>
      </w:r>
      <w:r w:rsidR="00307702">
        <w:rPr>
          <w:rFonts w:eastAsia="Times New Roman"/>
          <w:color w:val="auto"/>
          <w:lang w:val="uk-UA" w:eastAsia="ru-RU"/>
        </w:rPr>
        <w:t xml:space="preserve"> (площа 6787,77 га)</w:t>
      </w:r>
      <w:r>
        <w:rPr>
          <w:rFonts w:eastAsia="Times New Roman"/>
          <w:color w:val="auto"/>
          <w:lang w:val="uk-UA" w:eastAsia="ru-RU"/>
        </w:rPr>
        <w:t xml:space="preserve"> та </w:t>
      </w:r>
      <w:proofErr w:type="spellStart"/>
      <w:r>
        <w:rPr>
          <w:rFonts w:eastAsia="Times New Roman"/>
          <w:color w:val="auto"/>
          <w:lang w:val="uk-UA" w:eastAsia="ru-RU"/>
        </w:rPr>
        <w:t>Новоодеською</w:t>
      </w:r>
      <w:proofErr w:type="spellEnd"/>
      <w:r>
        <w:rPr>
          <w:rFonts w:eastAsia="Times New Roman"/>
          <w:color w:val="auto"/>
          <w:lang w:val="uk-UA" w:eastAsia="ru-RU"/>
        </w:rPr>
        <w:t xml:space="preserve"> районною організацією</w:t>
      </w:r>
      <w:r w:rsidRPr="00F90897">
        <w:rPr>
          <w:rFonts w:eastAsia="Times New Roman"/>
          <w:color w:val="auto"/>
          <w:lang w:val="uk-UA" w:eastAsia="ru-RU"/>
        </w:rPr>
        <w:t xml:space="preserve"> Українського товариства мисливців та рибалок</w:t>
      </w:r>
      <w:r>
        <w:rPr>
          <w:rFonts w:eastAsia="Times New Roman"/>
          <w:color w:val="auto"/>
          <w:lang w:val="uk-UA" w:eastAsia="ru-RU"/>
        </w:rPr>
        <w:t xml:space="preserve">). Так, </w:t>
      </w:r>
      <w:r w:rsidRPr="00646EF8">
        <w:rPr>
          <w:rFonts w:eastAsia="Times New Roman"/>
          <w:color w:val="auto"/>
          <w:lang w:val="uk-UA" w:eastAsia="ru-RU"/>
        </w:rPr>
        <w:t xml:space="preserve">по Дільничній сільській раді землі, які подаються для отримання у користування, вже узгоджені іншій організації - </w:t>
      </w:r>
      <w:proofErr w:type="spellStart"/>
      <w:r w:rsidRPr="00646EF8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 ГО «ГМР», яка вже раніше отримала на них погодження Миколаївської облдержадміністрації та Подання </w:t>
      </w:r>
      <w:proofErr w:type="spellStart"/>
      <w:r w:rsidRPr="00646EF8">
        <w:rPr>
          <w:rFonts w:eastAsia="Times New Roman"/>
          <w:color w:val="auto"/>
          <w:lang w:val="uk-UA" w:eastAsia="ru-RU"/>
        </w:rPr>
        <w:t>Держлісагентства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 України. Це землі ФГ «Регул» (775га), </w:t>
      </w:r>
      <w:r w:rsidR="00307702">
        <w:rPr>
          <w:rFonts w:eastAsia="Times New Roman"/>
          <w:color w:val="auto"/>
          <w:lang w:val="uk-UA" w:eastAsia="ru-RU"/>
        </w:rPr>
        <w:t xml:space="preserve">                               </w:t>
      </w:r>
      <w:r w:rsidRPr="00646EF8">
        <w:rPr>
          <w:rFonts w:eastAsia="Times New Roman"/>
          <w:color w:val="auto"/>
          <w:lang w:val="uk-UA" w:eastAsia="ru-RU"/>
        </w:rPr>
        <w:t>ФОП «</w:t>
      </w:r>
      <w:proofErr w:type="spellStart"/>
      <w:r w:rsidRPr="00646EF8">
        <w:rPr>
          <w:rFonts w:eastAsia="Times New Roman"/>
          <w:color w:val="auto"/>
          <w:lang w:val="uk-UA" w:eastAsia="ru-RU"/>
        </w:rPr>
        <w:t>Павлишин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 М.І.» (270га), ФГ «Факел» (25га.), ФГ «Комета» (25га), </w:t>
      </w:r>
      <w:r w:rsidR="00307702">
        <w:rPr>
          <w:rFonts w:eastAsia="Times New Roman"/>
          <w:color w:val="auto"/>
          <w:lang w:val="uk-UA" w:eastAsia="ru-RU"/>
        </w:rPr>
        <w:t xml:space="preserve">       </w:t>
      </w:r>
      <w:r w:rsidRPr="00646EF8">
        <w:rPr>
          <w:rFonts w:eastAsia="Times New Roman"/>
          <w:color w:val="auto"/>
          <w:lang w:val="uk-UA" w:eastAsia="ru-RU"/>
        </w:rPr>
        <w:t xml:space="preserve">ФГ «Тетяна» (60га). </w:t>
      </w:r>
    </w:p>
    <w:p w:rsidR="00646EF8" w:rsidRPr="00646EF8" w:rsidRDefault="00646EF8" w:rsidP="00646EF8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646EF8">
        <w:rPr>
          <w:rFonts w:eastAsia="Times New Roman"/>
          <w:color w:val="auto"/>
          <w:lang w:val="uk-UA" w:eastAsia="ru-RU"/>
        </w:rPr>
        <w:t xml:space="preserve">В поданих документах по </w:t>
      </w:r>
      <w:proofErr w:type="spellStart"/>
      <w:r w:rsidRPr="00646EF8">
        <w:rPr>
          <w:rFonts w:eastAsia="Times New Roman"/>
          <w:color w:val="auto"/>
          <w:lang w:val="uk-UA" w:eastAsia="ru-RU"/>
        </w:rPr>
        <w:t>Гур’ївській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 сільській раді теж виявлена накладка (перехрещення) площ. Це землі </w:t>
      </w:r>
      <w:proofErr w:type="spellStart"/>
      <w:r w:rsidRPr="00646EF8">
        <w:rPr>
          <w:rFonts w:eastAsia="Times New Roman"/>
          <w:color w:val="auto"/>
          <w:lang w:val="uk-UA" w:eastAsia="ru-RU"/>
        </w:rPr>
        <w:t>ТзДВ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 «</w:t>
      </w:r>
      <w:proofErr w:type="spellStart"/>
      <w:r w:rsidRPr="00646EF8">
        <w:rPr>
          <w:rFonts w:eastAsia="Times New Roman"/>
          <w:color w:val="auto"/>
          <w:lang w:val="uk-UA" w:eastAsia="ru-RU"/>
        </w:rPr>
        <w:t>Гур’ївка</w:t>
      </w:r>
      <w:proofErr w:type="spellEnd"/>
      <w:r w:rsidRPr="00646EF8">
        <w:rPr>
          <w:rFonts w:eastAsia="Times New Roman"/>
          <w:color w:val="auto"/>
          <w:lang w:val="uk-UA" w:eastAsia="ru-RU"/>
        </w:rPr>
        <w:t xml:space="preserve">» (1133га) та </w:t>
      </w:r>
      <w:r w:rsidR="00307702">
        <w:rPr>
          <w:rFonts w:eastAsia="Times New Roman"/>
          <w:color w:val="auto"/>
          <w:lang w:val="uk-UA" w:eastAsia="ru-RU"/>
        </w:rPr>
        <w:t xml:space="preserve">             </w:t>
      </w:r>
      <w:r w:rsidRPr="00646EF8">
        <w:rPr>
          <w:rFonts w:eastAsia="Times New Roman"/>
          <w:color w:val="auto"/>
          <w:lang w:val="uk-UA" w:eastAsia="ru-RU"/>
        </w:rPr>
        <w:t>ФГ «</w:t>
      </w:r>
      <w:proofErr w:type="spellStart"/>
      <w:r w:rsidRPr="00646EF8">
        <w:rPr>
          <w:rFonts w:eastAsia="Times New Roman"/>
          <w:color w:val="auto"/>
          <w:lang w:val="uk-UA" w:eastAsia="ru-RU"/>
        </w:rPr>
        <w:t>Паліда</w:t>
      </w:r>
      <w:proofErr w:type="spellEnd"/>
      <w:r w:rsidRPr="00646EF8">
        <w:rPr>
          <w:rFonts w:eastAsia="Times New Roman"/>
          <w:color w:val="auto"/>
          <w:lang w:val="uk-UA" w:eastAsia="ru-RU"/>
        </w:rPr>
        <w:t>» (310га.)</w:t>
      </w:r>
    </w:p>
    <w:p w:rsidR="00646EF8" w:rsidRPr="00646EF8" w:rsidRDefault="00646EF8" w:rsidP="00646EF8">
      <w:pPr>
        <w:ind w:firstLine="708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Враховуючи вищезазначене, </w:t>
      </w:r>
      <w:r w:rsidR="00307702">
        <w:rPr>
          <w:rFonts w:eastAsia="Times New Roman"/>
          <w:color w:val="auto"/>
          <w:lang w:val="uk-UA" w:eastAsia="ru-RU"/>
        </w:rPr>
        <w:t>п</w:t>
      </w:r>
      <w:r>
        <w:rPr>
          <w:rFonts w:eastAsia="Times New Roman"/>
          <w:color w:val="auto"/>
          <w:lang w:val="uk-UA" w:eastAsia="ru-RU"/>
        </w:rPr>
        <w:t xml:space="preserve">остійна комісія обласної ради </w:t>
      </w:r>
    </w:p>
    <w:p w:rsidR="009C43D3" w:rsidRPr="001A5512" w:rsidRDefault="00646EF8" w:rsidP="00646EF8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646EF8">
        <w:rPr>
          <w:rFonts w:eastAsia="Times New Roman"/>
          <w:color w:val="auto"/>
          <w:lang w:val="uk-UA" w:eastAsia="ru-RU"/>
        </w:rPr>
        <w:t xml:space="preserve">     </w:t>
      </w: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0F1486" w:rsidRPr="00E80F02" w:rsidRDefault="00646EF8" w:rsidP="000F1486">
      <w:pPr>
        <w:ind w:firstLine="708"/>
        <w:jc w:val="both"/>
        <w:rPr>
          <w:color w:val="auto"/>
          <w:lang w:val="uk-UA"/>
        </w:rPr>
      </w:pPr>
      <w:r>
        <w:rPr>
          <w:rFonts w:eastAsia="Times New Roman"/>
          <w:color w:val="auto"/>
          <w:lang w:val="uk-UA" w:eastAsia="ru-RU"/>
        </w:rPr>
        <w:t xml:space="preserve">Розглянути </w:t>
      </w:r>
      <w:r w:rsidR="00307702">
        <w:rPr>
          <w:rFonts w:eastAsia="Times New Roman"/>
          <w:color w:val="auto"/>
          <w:lang w:val="uk-UA" w:eastAsia="ru-RU"/>
        </w:rPr>
        <w:t xml:space="preserve">це </w:t>
      </w:r>
      <w:r>
        <w:rPr>
          <w:rFonts w:eastAsia="Times New Roman"/>
          <w:color w:val="auto"/>
          <w:lang w:val="uk-UA" w:eastAsia="ru-RU"/>
        </w:rPr>
        <w:t xml:space="preserve">питання після </w:t>
      </w:r>
      <w:r>
        <w:rPr>
          <w:color w:val="auto"/>
          <w:lang w:val="uk-UA"/>
        </w:rPr>
        <w:t xml:space="preserve">отримання відповіді від </w:t>
      </w:r>
      <w:r w:rsidRPr="00E13D82">
        <w:rPr>
          <w:rFonts w:eastAsia="Calibri"/>
          <w:color w:val="auto"/>
          <w:lang w:val="uk-UA"/>
        </w:rPr>
        <w:t>Державного агентства лісових ресурсів України</w:t>
      </w:r>
      <w:r w:rsidR="00307702">
        <w:rPr>
          <w:rFonts w:eastAsia="Calibri"/>
          <w:color w:val="auto"/>
          <w:lang w:val="uk-UA"/>
        </w:rPr>
        <w:t xml:space="preserve"> </w:t>
      </w:r>
      <w:r w:rsidR="000F1486">
        <w:rPr>
          <w:rFonts w:eastAsia="Calibri"/>
          <w:color w:val="auto"/>
          <w:lang w:val="uk-UA"/>
        </w:rPr>
        <w:t xml:space="preserve">стосовно </w:t>
      </w:r>
      <w:r w:rsidR="000F1486" w:rsidRPr="00E80F02">
        <w:rPr>
          <w:color w:val="auto"/>
          <w:lang w:val="uk-UA"/>
        </w:rPr>
        <w:t>нада</w:t>
      </w:r>
      <w:r w:rsidR="000F1486">
        <w:rPr>
          <w:color w:val="auto"/>
          <w:lang w:val="uk-UA"/>
        </w:rPr>
        <w:t>ння</w:t>
      </w:r>
      <w:r w:rsidR="000F1486" w:rsidRPr="00E80F02">
        <w:rPr>
          <w:color w:val="auto"/>
          <w:lang w:val="uk-UA"/>
        </w:rPr>
        <w:t xml:space="preserve"> роз’яснення щодо можливості неприбуткової громадської організації</w:t>
      </w:r>
      <w:r w:rsidR="000F1486" w:rsidRPr="000F1486">
        <w:rPr>
          <w:color w:val="auto"/>
          <w:lang w:val="uk-UA"/>
        </w:rPr>
        <w:t xml:space="preserve"> </w:t>
      </w:r>
      <w:r w:rsidR="000F1486">
        <w:rPr>
          <w:color w:val="auto"/>
          <w:lang w:val="uk-UA"/>
        </w:rPr>
        <w:t>(</w:t>
      </w:r>
      <w:proofErr w:type="spellStart"/>
      <w:r w:rsidR="000F1486" w:rsidRPr="00E13D82">
        <w:rPr>
          <w:color w:val="auto"/>
          <w:lang w:val="uk-UA"/>
        </w:rPr>
        <w:t>Новоодеська</w:t>
      </w:r>
      <w:proofErr w:type="spellEnd"/>
      <w:r w:rsidR="000F1486" w:rsidRPr="00E13D82">
        <w:rPr>
          <w:color w:val="auto"/>
          <w:lang w:val="uk-UA"/>
        </w:rPr>
        <w:t xml:space="preserve"> районна організація </w:t>
      </w:r>
      <w:r w:rsidR="000F1486" w:rsidRPr="00E13D82">
        <w:rPr>
          <w:color w:val="auto"/>
          <w:lang w:val="uk-UA" w:eastAsia="ru-RU"/>
        </w:rPr>
        <w:t>Українського товариства мисливців та рибалок</w:t>
      </w:r>
      <w:r w:rsidR="000F1486">
        <w:rPr>
          <w:color w:val="auto"/>
          <w:lang w:val="uk-UA" w:eastAsia="ru-RU"/>
        </w:rPr>
        <w:t>)</w:t>
      </w:r>
      <w:r w:rsidR="000F1486" w:rsidRPr="00E80F02">
        <w:rPr>
          <w:color w:val="auto"/>
          <w:lang w:val="uk-UA"/>
        </w:rPr>
        <w:t xml:space="preserve"> виступати користувачем мисливських угідь та проводити мисливське господарство.</w:t>
      </w:r>
    </w:p>
    <w:p w:rsidR="000F1486" w:rsidRDefault="000F1486" w:rsidP="00307702">
      <w:pPr>
        <w:ind w:right="-1" w:firstLine="708"/>
        <w:jc w:val="both"/>
        <w:rPr>
          <w:rFonts w:eastAsia="Calibri"/>
          <w:color w:val="auto"/>
          <w:lang w:val="uk-UA"/>
        </w:rPr>
      </w:pPr>
    </w:p>
    <w:p w:rsidR="000F1486" w:rsidRDefault="000F1486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9C43D3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="00646EF8">
        <w:rPr>
          <w:rFonts w:eastAsia="Times New Roman"/>
          <w:color w:val="auto"/>
          <w:lang w:val="uk-UA" w:eastAsia="ru-RU"/>
        </w:rPr>
        <w:t xml:space="preserve">                          </w:t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sectPr w:rsidR="009C43D3" w:rsidSect="00307702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D3"/>
    <w:rsid w:val="000F1486"/>
    <w:rsid w:val="001B5226"/>
    <w:rsid w:val="00307702"/>
    <w:rsid w:val="00646EF8"/>
    <w:rsid w:val="007A5DEE"/>
    <w:rsid w:val="007B0354"/>
    <w:rsid w:val="009C43D3"/>
    <w:rsid w:val="00EB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6</cp:revision>
  <cp:lastPrinted>2017-03-21T09:01:00Z</cp:lastPrinted>
  <dcterms:created xsi:type="dcterms:W3CDTF">2017-03-16T13:10:00Z</dcterms:created>
  <dcterms:modified xsi:type="dcterms:W3CDTF">2017-03-23T08:11:00Z</dcterms:modified>
</cp:coreProperties>
</file>